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drawings/drawing3.xml" ContentType="application/vnd.openxmlformats-officedocument.drawingml.chartshapes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0BE" w:rsidRDefault="005070BE" w:rsidP="005070BE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:rsidR="005070BE" w:rsidRDefault="00E535BA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24</w:t>
      </w:r>
      <w:r w:rsidR="00910CBA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Cs/>
          <w:color w:val="000000"/>
          <w:sz w:val="22"/>
          <w:szCs w:val="22"/>
        </w:rPr>
        <w:t>júna</w:t>
      </w:r>
      <w:r w:rsidR="005070BE">
        <w:rPr>
          <w:rFonts w:ascii="Arial" w:hAnsi="Arial" w:cs="Arial"/>
          <w:bCs/>
          <w:color w:val="000000"/>
          <w:sz w:val="22"/>
          <w:szCs w:val="22"/>
        </w:rPr>
        <w:t xml:space="preserve"> 201</w:t>
      </w:r>
      <w:r w:rsidR="001D28AA">
        <w:rPr>
          <w:rFonts w:ascii="Arial" w:hAnsi="Arial" w:cs="Arial"/>
          <w:bCs/>
          <w:color w:val="000000"/>
          <w:sz w:val="22"/>
          <w:szCs w:val="22"/>
        </w:rPr>
        <w:t>6</w:t>
      </w:r>
    </w:p>
    <w:p w:rsidR="005070BE" w:rsidRPr="00AC3B33" w:rsidRDefault="005070BE" w:rsidP="005070BE">
      <w:pPr>
        <w:jc w:val="center"/>
        <w:rPr>
          <w:rFonts w:ascii="Arial" w:hAnsi="Arial" w:cs="Arial"/>
          <w:b/>
        </w:rPr>
      </w:pPr>
    </w:p>
    <w:p w:rsidR="005070BE" w:rsidRPr="00AC3B33" w:rsidRDefault="005070BE" w:rsidP="005070BE">
      <w:pPr>
        <w:rPr>
          <w:rFonts w:ascii="Arial" w:hAnsi="Arial" w:cs="Arial"/>
          <w:b/>
        </w:rPr>
      </w:pPr>
    </w:p>
    <w:p w:rsidR="005070BE" w:rsidRDefault="005070BE" w:rsidP="005070BE">
      <w:pPr>
        <w:jc w:val="center"/>
        <w:rPr>
          <w:rFonts w:ascii="Arial" w:hAnsi="Arial" w:cs="Arial"/>
          <w:b/>
        </w:rPr>
      </w:pPr>
    </w:p>
    <w:p w:rsidR="00E535BA" w:rsidRPr="00E535BA" w:rsidRDefault="00E535BA" w:rsidP="00E535BA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E535BA">
        <w:rPr>
          <w:rFonts w:ascii="Arial" w:hAnsi="Arial" w:cs="Arial"/>
          <w:b/>
          <w:sz w:val="32"/>
          <w:szCs w:val="32"/>
        </w:rPr>
        <w:t xml:space="preserve">Správa z hodnotenia PHSR BSK 2014-2020 </w:t>
      </w:r>
    </w:p>
    <w:p w:rsidR="00910CBA" w:rsidRDefault="00E535BA" w:rsidP="00E535BA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E535BA">
        <w:rPr>
          <w:rFonts w:ascii="Arial" w:hAnsi="Arial" w:cs="Arial"/>
          <w:b/>
          <w:sz w:val="32"/>
          <w:szCs w:val="32"/>
        </w:rPr>
        <w:t>za rok 2015</w:t>
      </w:r>
    </w:p>
    <w:p w:rsidR="00E535BA" w:rsidRDefault="00E535BA" w:rsidP="00E535BA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E535BA" w:rsidRDefault="00E535BA" w:rsidP="00E535BA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E535BA" w:rsidRDefault="00E535BA" w:rsidP="00E535BA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910CBA" w:rsidRPr="00367574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5070BE" w:rsidRPr="00A405DD" w:rsidRDefault="005070BE" w:rsidP="005070BE">
      <w:pPr>
        <w:rPr>
          <w:rFonts w:ascii="Arial" w:hAnsi="Arial" w:cs="Arial"/>
          <w:b/>
        </w:rPr>
      </w:pPr>
    </w:p>
    <w:p w:rsidR="005070BE" w:rsidRDefault="005070BE" w:rsidP="005070BE">
      <w:pPr>
        <w:jc w:val="center"/>
        <w:rPr>
          <w:rFonts w:ascii="Arial" w:hAnsi="Arial" w:cs="Arial"/>
          <w:b/>
          <w:sz w:val="22"/>
          <w:szCs w:val="22"/>
        </w:rPr>
      </w:pPr>
    </w:p>
    <w:p w:rsidR="005070BE" w:rsidRPr="00AC3B33" w:rsidRDefault="005070BE" w:rsidP="005070BE">
      <w:pPr>
        <w:rPr>
          <w:rFonts w:ascii="Arial" w:hAnsi="Arial" w:cs="Arial"/>
          <w:b/>
        </w:rPr>
      </w:pPr>
    </w:p>
    <w:p w:rsidR="005070BE" w:rsidRPr="00A405DD" w:rsidRDefault="005070BE" w:rsidP="005070BE">
      <w:pPr>
        <w:jc w:val="both"/>
        <w:rPr>
          <w:rFonts w:ascii="Arial" w:hAnsi="Arial" w:cs="Arial"/>
          <w:u w:val="single"/>
        </w:rPr>
      </w:pPr>
    </w:p>
    <w:p w:rsidR="005070BE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5070BE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5070BE" w:rsidRPr="004F3041" w:rsidRDefault="005070BE" w:rsidP="005070BE">
      <w:pPr>
        <w:tabs>
          <w:tab w:val="left" w:pos="5670"/>
        </w:tabs>
        <w:ind w:right="-36"/>
        <w:jc w:val="both"/>
        <w:rPr>
          <w:rFonts w:ascii="Arial" w:hAnsi="Arial" w:cs="Arial"/>
          <w:bCs/>
          <w:sz w:val="22"/>
          <w:szCs w:val="22"/>
        </w:rPr>
      </w:pPr>
      <w:r w:rsidRPr="00836FE9">
        <w:rPr>
          <w:rFonts w:ascii="Arial" w:hAnsi="Arial" w:cs="Arial"/>
          <w:bCs/>
          <w:color w:val="000000"/>
          <w:sz w:val="22"/>
          <w:szCs w:val="22"/>
        </w:rPr>
        <w:t xml:space="preserve">Ing. Martin </w:t>
      </w:r>
      <w:proofErr w:type="spellStart"/>
      <w:r w:rsidRPr="00836FE9">
        <w:rPr>
          <w:rFonts w:ascii="Arial" w:hAnsi="Arial" w:cs="Arial"/>
          <w:bCs/>
          <w:color w:val="000000"/>
          <w:sz w:val="22"/>
          <w:szCs w:val="22"/>
        </w:rPr>
        <w:t>Berta</w:t>
      </w:r>
      <w:proofErr w:type="spellEnd"/>
      <w:r w:rsidRPr="00836FE9">
        <w:rPr>
          <w:rFonts w:ascii="Arial" w:hAnsi="Arial" w:cs="Arial"/>
          <w:bCs/>
          <w:color w:val="000000"/>
          <w:sz w:val="22"/>
          <w:szCs w:val="22"/>
        </w:rPr>
        <w:t>, CSc.</w:t>
      </w:r>
      <w:r w:rsidRPr="00836FE9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4F3041">
        <w:rPr>
          <w:rFonts w:ascii="Arial" w:hAnsi="Arial" w:cs="Arial"/>
          <w:bCs/>
          <w:sz w:val="22"/>
          <w:szCs w:val="22"/>
        </w:rPr>
        <w:t>1.  Návrh uznesenia</w:t>
      </w:r>
    </w:p>
    <w:p w:rsidR="005070BE" w:rsidRPr="004F3041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 xml:space="preserve">podpredseda Bratislavského  </w:t>
      </w:r>
      <w:r w:rsidRPr="004F3041">
        <w:rPr>
          <w:rFonts w:ascii="Arial" w:hAnsi="Arial" w:cs="Arial"/>
          <w:bCs/>
          <w:sz w:val="22"/>
          <w:szCs w:val="22"/>
        </w:rPr>
        <w:tab/>
        <w:t>2.  Dôvodová správa</w:t>
      </w:r>
    </w:p>
    <w:p w:rsidR="005070BE" w:rsidRPr="004F3041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lastRenderedPageBreak/>
        <w:t>samosprávneho kraja</w:t>
      </w:r>
      <w:r w:rsidRPr="004F3041">
        <w:rPr>
          <w:rFonts w:ascii="Arial" w:hAnsi="Arial" w:cs="Arial"/>
          <w:bCs/>
          <w:sz w:val="22"/>
          <w:szCs w:val="22"/>
        </w:rPr>
        <w:tab/>
        <w:t>3.  Stanoviská komisií</w:t>
      </w:r>
    </w:p>
    <w:p w:rsidR="005070BE" w:rsidRDefault="005070BE" w:rsidP="00E535BA">
      <w:pPr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D3146">
        <w:rPr>
          <w:rFonts w:ascii="Arial" w:hAnsi="Arial" w:cs="Arial"/>
          <w:sz w:val="22"/>
          <w:szCs w:val="22"/>
        </w:rPr>
        <w:t xml:space="preserve">.  </w:t>
      </w:r>
      <w:r w:rsidR="004E28DE">
        <w:rPr>
          <w:rFonts w:ascii="Arial" w:hAnsi="Arial" w:cs="Arial"/>
          <w:sz w:val="22"/>
          <w:szCs w:val="22"/>
        </w:rPr>
        <w:t>Príloha č. 1</w:t>
      </w:r>
    </w:p>
    <w:p w:rsidR="005070BE" w:rsidRPr="00E1337F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Zodpovedná:</w:t>
      </w:r>
    </w:p>
    <w:p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Barbora Lukáčová</w:t>
      </w:r>
    </w:p>
    <w:p w:rsidR="00625323" w:rsidRDefault="00625323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1D28AA" w:rsidRPr="00B37489">
        <w:rPr>
          <w:rFonts w:ascii="Arial" w:hAnsi="Arial" w:cs="Arial"/>
          <w:sz w:val="22"/>
          <w:szCs w:val="22"/>
        </w:rPr>
        <w:t xml:space="preserve">iaditeľka </w:t>
      </w:r>
    </w:p>
    <w:p w:rsidR="001D28AA" w:rsidRPr="00B37489" w:rsidRDefault="00F13145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D28AA" w:rsidRPr="00B37489">
        <w:rPr>
          <w:rFonts w:ascii="Arial" w:hAnsi="Arial" w:cs="Arial"/>
          <w:sz w:val="22"/>
          <w:szCs w:val="22"/>
        </w:rPr>
        <w:t>dboru stratégie, územného rozvoja a riadenia projektov</w:t>
      </w:r>
    </w:p>
    <w:p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Spracovatelia:</w:t>
      </w:r>
    </w:p>
    <w:p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Martin Hakel, BA</w:t>
      </w:r>
    </w:p>
    <w:p w:rsidR="001D28AA" w:rsidRPr="00B37489" w:rsidRDefault="00F13145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</w:t>
      </w:r>
      <w:r w:rsidR="001D28AA" w:rsidRPr="00B37489">
        <w:rPr>
          <w:rFonts w:ascii="Arial" w:hAnsi="Arial" w:cs="Arial"/>
          <w:sz w:val="22"/>
          <w:szCs w:val="22"/>
        </w:rPr>
        <w:t>ddelenia stratégie a územného rozvoja</w:t>
      </w:r>
    </w:p>
    <w:p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 xml:space="preserve">Ing. Martin </w:t>
      </w:r>
      <w:proofErr w:type="spellStart"/>
      <w:r w:rsidRPr="00B37489">
        <w:rPr>
          <w:rFonts w:ascii="Arial" w:hAnsi="Arial" w:cs="Arial"/>
          <w:sz w:val="22"/>
          <w:szCs w:val="22"/>
        </w:rPr>
        <w:t>Bezek</w:t>
      </w:r>
      <w:proofErr w:type="spellEnd"/>
      <w:r w:rsidRPr="00B37489">
        <w:rPr>
          <w:rFonts w:ascii="Arial" w:hAnsi="Arial" w:cs="Arial"/>
          <w:sz w:val="22"/>
          <w:szCs w:val="22"/>
        </w:rPr>
        <w:t xml:space="preserve"> </w:t>
      </w:r>
    </w:p>
    <w:p w:rsidR="001D28AA" w:rsidRPr="00B37489" w:rsidRDefault="00F13145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</w:t>
      </w:r>
      <w:r w:rsidR="001D28AA" w:rsidRPr="00B37489">
        <w:rPr>
          <w:rFonts w:ascii="Arial" w:hAnsi="Arial" w:cs="Arial"/>
          <w:sz w:val="22"/>
          <w:szCs w:val="22"/>
        </w:rPr>
        <w:t>ddelenia stratégie a územného rozvoja</w:t>
      </w:r>
      <w:r w:rsidR="001D28AA" w:rsidRPr="00B37489">
        <w:rPr>
          <w:rFonts w:ascii="Arial" w:hAnsi="Arial" w:cs="Arial"/>
          <w:sz w:val="22"/>
          <w:szCs w:val="22"/>
        </w:rPr>
        <w:tab/>
      </w:r>
    </w:p>
    <w:p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5070BE" w:rsidRDefault="005070BE" w:rsidP="005070BE">
      <w:pPr>
        <w:rPr>
          <w:rFonts w:ascii="Arial" w:hAnsi="Arial" w:cs="Arial"/>
          <w:sz w:val="22"/>
          <w:szCs w:val="22"/>
        </w:rPr>
      </w:pPr>
    </w:p>
    <w:p w:rsidR="00E535BA" w:rsidRDefault="00E535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D28AA" w:rsidRDefault="001D28A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535BA" w:rsidRDefault="00E535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535BA" w:rsidRDefault="00E535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070BE" w:rsidRDefault="005070BE" w:rsidP="005070BE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5070BE" w:rsidRPr="00C706E6" w:rsidRDefault="00E535BA" w:rsidP="005070BE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  <w:sz w:val="22"/>
          <w:szCs w:val="22"/>
        </w:rPr>
        <w:t>jún</w:t>
      </w:r>
      <w:r w:rsidR="005070BE">
        <w:rPr>
          <w:rFonts w:ascii="Arial" w:hAnsi="Arial" w:cs="Arial"/>
          <w:bCs/>
          <w:color w:val="000000"/>
          <w:sz w:val="22"/>
          <w:szCs w:val="22"/>
        </w:rPr>
        <w:t xml:space="preserve"> 201</w:t>
      </w:r>
      <w:r w:rsidR="008A4CC3">
        <w:rPr>
          <w:rFonts w:ascii="Arial" w:hAnsi="Arial" w:cs="Arial"/>
          <w:bCs/>
          <w:color w:val="000000"/>
          <w:sz w:val="22"/>
          <w:szCs w:val="22"/>
        </w:rPr>
        <w:t>6</w:t>
      </w:r>
    </w:p>
    <w:p w:rsidR="00E535BA" w:rsidRDefault="00E535BA" w:rsidP="00E535BA">
      <w:pPr>
        <w:jc w:val="center"/>
        <w:rPr>
          <w:rFonts w:ascii="Arial" w:hAnsi="Arial" w:cs="Arial"/>
          <w:spacing w:val="70"/>
        </w:rPr>
      </w:pPr>
    </w:p>
    <w:p w:rsidR="00E535BA" w:rsidRDefault="00E535BA" w:rsidP="00E535BA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E535BA" w:rsidRDefault="00E535BA" w:rsidP="00E535BA">
      <w:pPr>
        <w:jc w:val="center"/>
        <w:rPr>
          <w:rFonts w:ascii="Arial" w:hAnsi="Arial" w:cs="Arial"/>
        </w:rPr>
      </w:pPr>
    </w:p>
    <w:p w:rsidR="00E535BA" w:rsidRDefault="00E535BA" w:rsidP="00E535BA">
      <w:pPr>
        <w:jc w:val="center"/>
        <w:rPr>
          <w:rFonts w:ascii="Arial" w:hAnsi="Arial" w:cs="Arial"/>
        </w:rPr>
      </w:pPr>
    </w:p>
    <w:p w:rsidR="00E535BA" w:rsidRDefault="00E535BA" w:rsidP="00E535B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UZNESENIE č. ........... / 2016</w:t>
      </w:r>
    </w:p>
    <w:p w:rsidR="00E535BA" w:rsidRDefault="00E535BA" w:rsidP="00E535B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24.06</w:t>
      </w:r>
      <w:r w:rsidRPr="00536C0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2016</w:t>
      </w:r>
    </w:p>
    <w:p w:rsidR="00E535BA" w:rsidRDefault="00E535BA" w:rsidP="00E535BA">
      <w:pPr>
        <w:jc w:val="center"/>
        <w:rPr>
          <w:rFonts w:ascii="Arial" w:hAnsi="Arial" w:cs="Arial"/>
        </w:rPr>
      </w:pPr>
    </w:p>
    <w:p w:rsidR="00E535BA" w:rsidRDefault="00E535BA" w:rsidP="00E535BA">
      <w:pPr>
        <w:jc w:val="center"/>
        <w:rPr>
          <w:rFonts w:ascii="Arial" w:hAnsi="Arial" w:cs="Arial"/>
        </w:rPr>
      </w:pPr>
    </w:p>
    <w:p w:rsidR="00E535BA" w:rsidRDefault="00E535BA" w:rsidP="00E535BA">
      <w:pPr>
        <w:jc w:val="center"/>
        <w:rPr>
          <w:rFonts w:ascii="Arial" w:hAnsi="Arial" w:cs="Arial"/>
        </w:rPr>
      </w:pPr>
    </w:p>
    <w:p w:rsidR="00E535BA" w:rsidRDefault="00E535BA" w:rsidP="00E535BA">
      <w:pPr>
        <w:jc w:val="center"/>
        <w:rPr>
          <w:rFonts w:ascii="Arial" w:hAnsi="Arial" w:cs="Arial"/>
        </w:rPr>
      </w:pPr>
    </w:p>
    <w:p w:rsidR="00E535BA" w:rsidRDefault="00E535BA" w:rsidP="00E535BA">
      <w:pPr>
        <w:jc w:val="center"/>
        <w:rPr>
          <w:rFonts w:ascii="Arial" w:hAnsi="Arial" w:cs="Arial"/>
        </w:rPr>
      </w:pPr>
    </w:p>
    <w:p w:rsidR="00E535BA" w:rsidRDefault="00E535BA" w:rsidP="00E535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E535BA" w:rsidRDefault="00E535BA" w:rsidP="00E535BA">
      <w:pPr>
        <w:jc w:val="both"/>
        <w:rPr>
          <w:rFonts w:ascii="Arial" w:hAnsi="Arial" w:cs="Arial"/>
          <w:sz w:val="22"/>
          <w:szCs w:val="22"/>
        </w:rPr>
      </w:pPr>
    </w:p>
    <w:p w:rsidR="00E535BA" w:rsidRDefault="00E535BA" w:rsidP="00E535BA">
      <w:pPr>
        <w:rPr>
          <w:rFonts w:ascii="Arial" w:hAnsi="Arial" w:cs="Arial"/>
          <w:sz w:val="22"/>
          <w:szCs w:val="22"/>
        </w:rPr>
      </w:pPr>
    </w:p>
    <w:p w:rsidR="00E535BA" w:rsidRDefault="00E535BA" w:rsidP="00E535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schvaľuje</w:t>
      </w:r>
    </w:p>
    <w:p w:rsidR="00E535BA" w:rsidRDefault="00E535BA" w:rsidP="00E535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Správu z hodnotenia PHSR BSK 2014-2020 za rok 2015</w:t>
      </w:r>
    </w:p>
    <w:p w:rsidR="00E535BA" w:rsidRDefault="00E535BA" w:rsidP="00E535BA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rPr>
          <w:rFonts w:ascii="Arial" w:hAnsi="Arial" w:cs="Arial"/>
          <w:b/>
          <w:spacing w:val="70"/>
        </w:rPr>
      </w:pPr>
    </w:p>
    <w:p w:rsidR="00E535BA" w:rsidRDefault="00E535BA" w:rsidP="00E535BA">
      <w:pPr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:rsidR="00E535BA" w:rsidRDefault="00E535BA" w:rsidP="00E535BA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rPr>
          <w:rFonts w:ascii="Arial" w:hAnsi="Arial" w:cs="Arial"/>
          <w:sz w:val="22"/>
          <w:szCs w:val="22"/>
          <w:u w:val="single"/>
        </w:rPr>
      </w:pPr>
      <w:r w:rsidRPr="000F7A43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:rsidR="00E535BA" w:rsidRDefault="00E535BA" w:rsidP="00E535BA">
      <w:pPr>
        <w:rPr>
          <w:rFonts w:ascii="Arial" w:hAnsi="Arial" w:cs="Arial"/>
          <w:sz w:val="22"/>
          <w:szCs w:val="22"/>
          <w:u w:val="single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  <w:r>
        <w:rPr>
          <w:rFonts w:ascii="Arial" w:hAnsi="Arial" w:cs="Arial"/>
          <w:sz w:val="22"/>
          <w:szCs w:val="22"/>
        </w:rPr>
        <w:t xml:space="preserve">Zaviesť navrhované opatrenia na rok 2016 vyplývajúce zo Správy z hodnotenia PHSR BSK 2014-2020 za rok 2015 </w:t>
      </w: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E535BA" w:rsidRPr="002770A7" w:rsidRDefault="00E535BA" w:rsidP="00E535B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T: 31.</w:t>
      </w:r>
      <w:r>
        <w:rPr>
          <w:rFonts w:ascii="Arial" w:hAnsi="Arial" w:cs="Arial"/>
          <w:sz w:val="22"/>
          <w:szCs w:val="22"/>
        </w:rPr>
        <w:t>12</w:t>
      </w:r>
      <w:r w:rsidRPr="002770A7">
        <w:rPr>
          <w:rFonts w:ascii="Arial" w:hAnsi="Arial" w:cs="Arial"/>
          <w:sz w:val="22"/>
          <w:szCs w:val="22"/>
        </w:rPr>
        <w:t>.201</w:t>
      </w:r>
      <w:r>
        <w:rPr>
          <w:rFonts w:ascii="Arial" w:hAnsi="Arial" w:cs="Arial"/>
          <w:sz w:val="22"/>
          <w:szCs w:val="22"/>
        </w:rPr>
        <w:t>6</w:t>
      </w: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E535BA" w:rsidRDefault="00E535BA" w:rsidP="00E535BA">
      <w:pPr>
        <w:rPr>
          <w:rFonts w:ascii="Arial" w:hAnsi="Arial" w:cs="Arial"/>
          <w:sz w:val="22"/>
          <w:szCs w:val="22"/>
        </w:rPr>
        <w:sectPr w:rsidR="00E535BA" w:rsidSect="00302F2B">
          <w:footerReference w:type="default" r:id="rId8"/>
          <w:pgSz w:w="11906" w:h="16838"/>
          <w:pgMar w:top="1417" w:right="1417" w:bottom="993" w:left="1417" w:header="708" w:footer="708" w:gutter="0"/>
          <w:pgNumType w:start="1"/>
          <w:cols w:space="708"/>
          <w:titlePg/>
          <w:docGrid w:linePitch="360"/>
        </w:sectPr>
      </w:pPr>
    </w:p>
    <w:p w:rsidR="00E535BA" w:rsidRPr="004C1521" w:rsidRDefault="00E535BA" w:rsidP="00E535BA">
      <w:pPr>
        <w:jc w:val="center"/>
        <w:rPr>
          <w:rFonts w:ascii="Arial" w:hAnsi="Arial" w:cs="Arial"/>
          <w:b/>
          <w:sz w:val="22"/>
          <w:szCs w:val="22"/>
        </w:rPr>
      </w:pPr>
      <w:r w:rsidRPr="004C1521">
        <w:rPr>
          <w:rFonts w:ascii="Arial" w:hAnsi="Arial" w:cs="Arial"/>
          <w:b/>
          <w:sz w:val="22"/>
          <w:szCs w:val="22"/>
        </w:rPr>
        <w:lastRenderedPageBreak/>
        <w:t>D ô v o d o v á   s p r á v a</w:t>
      </w:r>
    </w:p>
    <w:p w:rsidR="00E535BA" w:rsidRDefault="00E535BA" w:rsidP="00E535BA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E535BA" w:rsidRDefault="00E535BA" w:rsidP="00E535BA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Bratislavský samosprávny kraj (ďalej len BSK) za 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účelom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podpory regionálneho rozvoja podľa zákona č. 539/2008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Z.z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. o podpore regionálneho rozvoja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 spracoval strednodobý strategický dokument Program hospodárskeho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rozvoja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 a sociálneho rozvoja BSK na roky 2014-2020 (ďalej len </w:t>
      </w:r>
      <w:r w:rsidRPr="000952DF">
        <w:rPr>
          <w:rFonts w:ascii="Arial" w:eastAsia="Calibri" w:hAnsi="Arial" w:cs="Arial"/>
          <w:b/>
          <w:sz w:val="22"/>
          <w:szCs w:val="22"/>
          <w:lang w:eastAsia="en-US"/>
        </w:rPr>
        <w:t>PHSR BSK 2014-2020</w:t>
      </w:r>
      <w:r w:rsidRPr="000952DF">
        <w:rPr>
          <w:rFonts w:ascii="Arial" w:eastAsia="Calibri" w:hAnsi="Arial" w:cs="Arial"/>
          <w:sz w:val="22"/>
          <w:szCs w:val="22"/>
          <w:lang w:eastAsia="en-US"/>
        </w:rPr>
        <w:t>)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ktorý bol schválený </w:t>
      </w:r>
      <w:r w:rsidRPr="008F0A86">
        <w:rPr>
          <w:rFonts w:ascii="Arial" w:hAnsi="Arial" w:cs="Arial"/>
          <w:sz w:val="22"/>
          <w:szCs w:val="22"/>
        </w:rPr>
        <w:t xml:space="preserve">Uznesením č. </w:t>
      </w:r>
      <w:r>
        <w:rPr>
          <w:rFonts w:ascii="Arial" w:hAnsi="Arial" w:cs="Arial"/>
          <w:sz w:val="22"/>
          <w:szCs w:val="22"/>
        </w:rPr>
        <w:t xml:space="preserve">46/2013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Zastupiteľstvom Bratislavského samosprávneho kraja dňa 21.6.2013.</w:t>
      </w:r>
      <w:r w:rsidRPr="00560B4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F0A86">
        <w:rPr>
          <w:rFonts w:ascii="Arial" w:hAnsi="Arial" w:cs="Arial"/>
          <w:sz w:val="22"/>
          <w:szCs w:val="22"/>
        </w:rPr>
        <w:t xml:space="preserve">V súlade s Uznesením č. </w:t>
      </w:r>
      <w:r>
        <w:rPr>
          <w:rFonts w:ascii="Arial" w:hAnsi="Arial" w:cs="Arial"/>
          <w:sz w:val="22"/>
          <w:szCs w:val="22"/>
        </w:rPr>
        <w:t xml:space="preserve">46/2013 Odbor stratégie, územného rozvoja a riadenia projektov spracoval </w:t>
      </w:r>
      <w:r w:rsidRPr="00FD1316">
        <w:rPr>
          <w:rFonts w:ascii="Arial" w:hAnsi="Arial" w:cs="Arial"/>
          <w:b/>
          <w:sz w:val="22"/>
          <w:szCs w:val="22"/>
        </w:rPr>
        <w:t>Správu z hodnotenia PHSR BSK 2014-2020 za rok</w:t>
      </w:r>
      <w:r>
        <w:rPr>
          <w:rFonts w:ascii="Arial" w:hAnsi="Arial" w:cs="Arial"/>
          <w:sz w:val="22"/>
          <w:szCs w:val="22"/>
        </w:rPr>
        <w:t xml:space="preserve"> 2015 (ďalej len Správu) prostredníctvom ktorej sa zabezpečuje </w:t>
      </w:r>
      <w:r w:rsidRPr="00E030D5">
        <w:rPr>
          <w:rFonts w:ascii="Arial" w:hAnsi="Arial" w:cs="Arial"/>
          <w:sz w:val="22"/>
          <w:szCs w:val="22"/>
        </w:rPr>
        <w:t xml:space="preserve">monitorovanie a hodnotenie plnenia </w:t>
      </w:r>
      <w:r>
        <w:rPr>
          <w:rFonts w:ascii="Arial" w:hAnsi="Arial" w:cs="Arial"/>
          <w:sz w:val="22"/>
          <w:szCs w:val="22"/>
        </w:rPr>
        <w:t>PHSR BSK 2014-2020 za rok 2015.</w:t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05846">
        <w:rPr>
          <w:rFonts w:ascii="Arial" w:hAnsi="Arial" w:cs="Arial"/>
          <w:sz w:val="22"/>
          <w:szCs w:val="22"/>
        </w:rPr>
        <w:t xml:space="preserve">Monitorovanie a hodnotenie predstavuje proces, ktorý systematicky skúma prínos z realizácie </w:t>
      </w:r>
      <w:r>
        <w:rPr>
          <w:rFonts w:ascii="Arial" w:hAnsi="Arial" w:cs="Arial"/>
          <w:sz w:val="22"/>
          <w:szCs w:val="22"/>
        </w:rPr>
        <w:t>PHSR BSK 2014-2020</w:t>
      </w:r>
      <w:r w:rsidRPr="00805846">
        <w:rPr>
          <w:rFonts w:ascii="Arial" w:hAnsi="Arial" w:cs="Arial"/>
          <w:sz w:val="22"/>
          <w:szCs w:val="22"/>
        </w:rPr>
        <w:t xml:space="preserve"> a jeho súlad s cieľmi stanovenými v</w:t>
      </w:r>
      <w:r>
        <w:rPr>
          <w:rFonts w:ascii="Arial" w:hAnsi="Arial" w:cs="Arial"/>
          <w:sz w:val="22"/>
          <w:szCs w:val="22"/>
        </w:rPr>
        <w:t> strategickej časti</w:t>
      </w:r>
      <w:r w:rsidRPr="00805846">
        <w:rPr>
          <w:rFonts w:ascii="Arial" w:hAnsi="Arial" w:cs="Arial"/>
          <w:sz w:val="22"/>
          <w:szCs w:val="22"/>
        </w:rPr>
        <w:t xml:space="preserve"> a analyzuje účinnosť realizačných procesov a vhodnosť nastavenia jednotlivých opatrení a skupiny aktivít a pripravuje odporúčania na zvýšenie ich efektívnosti.</w:t>
      </w:r>
      <w:r>
        <w:rPr>
          <w:rFonts w:ascii="Arial" w:hAnsi="Arial" w:cs="Arial"/>
          <w:sz w:val="22"/>
          <w:szCs w:val="22"/>
        </w:rPr>
        <w:t xml:space="preserve"> Správa vychádza z piatich prioritných osí a jedenástich opatrení, ktoré boli definované v strategickej a programovej časti PHSR BSK 2014-2020. </w:t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535BA" w:rsidRPr="00FD1316" w:rsidRDefault="00E535BA" w:rsidP="00E535B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FD1316">
        <w:rPr>
          <w:rFonts w:ascii="Arial" w:hAnsi="Arial" w:cs="Arial"/>
          <w:b/>
          <w:sz w:val="22"/>
          <w:szCs w:val="22"/>
        </w:rPr>
        <w:t xml:space="preserve">Samotné monitorovanie a následne hodnotenie </w:t>
      </w:r>
      <w:r>
        <w:rPr>
          <w:rFonts w:ascii="Arial" w:hAnsi="Arial" w:cs="Arial"/>
          <w:b/>
          <w:sz w:val="22"/>
          <w:szCs w:val="22"/>
        </w:rPr>
        <w:t>má tri časti spracované pre každú prioritnú os</w:t>
      </w:r>
      <w:r w:rsidRPr="00FD1316">
        <w:rPr>
          <w:rFonts w:ascii="Arial" w:hAnsi="Arial" w:cs="Arial"/>
          <w:b/>
          <w:sz w:val="22"/>
          <w:szCs w:val="22"/>
        </w:rPr>
        <w:t>:</w:t>
      </w:r>
    </w:p>
    <w:p w:rsidR="00E535BA" w:rsidRPr="004C68DC" w:rsidRDefault="00E535BA" w:rsidP="00E535BA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Východisková časť</w:t>
      </w:r>
      <w:r w:rsidRPr="004C68DC">
        <w:rPr>
          <w:rFonts w:ascii="Arial" w:hAnsi="Arial" w:cs="Arial"/>
          <w:sz w:val="22"/>
          <w:szCs w:val="22"/>
        </w:rPr>
        <w:t>;</w:t>
      </w:r>
    </w:p>
    <w:p w:rsidR="00E535BA" w:rsidRPr="004C68DC" w:rsidRDefault="00E535BA" w:rsidP="00E535BA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Analytická časť</w:t>
      </w:r>
      <w:r w:rsidRPr="004C68DC">
        <w:rPr>
          <w:rFonts w:ascii="Arial" w:hAnsi="Arial" w:cs="Arial"/>
          <w:sz w:val="22"/>
          <w:szCs w:val="22"/>
        </w:rPr>
        <w:t>;</w:t>
      </w:r>
    </w:p>
    <w:p w:rsidR="00E535BA" w:rsidRPr="004C68DC" w:rsidRDefault="00E535BA" w:rsidP="00E535BA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Hodnotiaca časť.</w:t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Záverom správy je návrhová časť, ktorá obsahuje opatrenia na rok 2016, zvyšujúce efektivitu plnenia PHSR BSK 2014-2020.</w:t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Správa bola v štádiu návrhu predložená na pripomienkovanie príslušným odborom Úradu BSK. </w:t>
      </w:r>
    </w:p>
    <w:p w:rsidR="00E535BA" w:rsidRDefault="00E535BA" w:rsidP="00E535BA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1. Východisková časť</w:t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524AC">
        <w:rPr>
          <w:rFonts w:ascii="Arial" w:hAnsi="Arial" w:cs="Arial"/>
          <w:sz w:val="22"/>
          <w:szCs w:val="22"/>
        </w:rPr>
        <w:t>Popisuje prepojenie analytickej a strategickej časti PHSR, predstavuje opatr</w:t>
      </w:r>
      <w:r>
        <w:rPr>
          <w:rFonts w:ascii="Arial" w:hAnsi="Arial" w:cs="Arial"/>
          <w:sz w:val="22"/>
          <w:szCs w:val="22"/>
        </w:rPr>
        <w:t xml:space="preserve">enia a aktivity  jednotlivých prioritných osí, ktoré boli predmetom monitorovania a hodnotenia. Detailnejšie rozpracovanie spolu so SWOT analýzou sa nachádza priamo v Správe. </w:t>
      </w:r>
    </w:p>
    <w:p w:rsidR="00E535BA" w:rsidRPr="00FD1316" w:rsidRDefault="00E535BA" w:rsidP="00E535B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FD1316">
        <w:rPr>
          <w:rFonts w:ascii="Arial" w:hAnsi="Arial" w:cs="Arial"/>
          <w:b/>
          <w:sz w:val="22"/>
          <w:szCs w:val="22"/>
        </w:rPr>
        <w:t>Prepojenia prioritných osí (PO 1-5) a opatrení (Opatrenia 1-11) PHSR BSK 2014-2020</w:t>
      </w:r>
    </w:p>
    <w:p w:rsidR="00E535BA" w:rsidRPr="006718A7" w:rsidRDefault="00E535BA" w:rsidP="00E535BA">
      <w:pPr>
        <w:pStyle w:val="Bezriadkovania"/>
        <w:jc w:val="left"/>
        <w:rPr>
          <w:rFonts w:cs="Arial"/>
        </w:rPr>
      </w:pPr>
      <w:r w:rsidRPr="005F276E">
        <w:rPr>
          <w:noProof/>
          <w:lang w:eastAsia="sk-SK"/>
        </w:rPr>
        <w:lastRenderedPageBreak/>
        <w:drawing>
          <wp:inline distT="0" distB="0" distL="0" distR="0" wp14:anchorId="233F5DB8" wp14:editId="50FB1085">
            <wp:extent cx="5760720" cy="4371809"/>
            <wp:effectExtent l="76200" t="57150" r="11430" b="86360"/>
            <wp:docPr id="49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535BA" w:rsidRDefault="00E535BA" w:rsidP="00E535BA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E535BA" w:rsidRPr="00A524AC" w:rsidRDefault="00E535BA" w:rsidP="00E535B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A524AC">
        <w:rPr>
          <w:rFonts w:ascii="Arial" w:hAnsi="Arial" w:cs="Arial"/>
          <w:b/>
          <w:sz w:val="22"/>
          <w:szCs w:val="22"/>
        </w:rPr>
        <w:lastRenderedPageBreak/>
        <w:t>2. Analytická časť</w:t>
      </w:r>
    </w:p>
    <w:p w:rsidR="00E535BA" w:rsidRPr="005A1402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A1402">
        <w:rPr>
          <w:rFonts w:ascii="Arial" w:hAnsi="Arial" w:cs="Arial"/>
          <w:sz w:val="22"/>
          <w:szCs w:val="22"/>
        </w:rPr>
        <w:t>Obsahuje analýzu vývoja sledovaných ukazovateľov v období 2010-2015</w:t>
      </w:r>
      <w:r>
        <w:rPr>
          <w:rFonts w:ascii="Arial" w:hAnsi="Arial" w:cs="Arial"/>
          <w:sz w:val="22"/>
          <w:szCs w:val="22"/>
        </w:rPr>
        <w:t xml:space="preserve"> a porovnanie pokroku oproti plánovaným hodnotám v roku 2020. Detailnejšie rozpracovanie spolu s interpretáciou ukazovateľov sa nachádza priamo v Správe. </w:t>
      </w:r>
    </w:p>
    <w:p w:rsidR="00E535BA" w:rsidRPr="00FF4BE9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F4BE9">
        <w:rPr>
          <w:rFonts w:ascii="Arial" w:hAnsi="Arial" w:cs="Arial"/>
          <w:sz w:val="22"/>
          <w:szCs w:val="22"/>
        </w:rPr>
        <w:t xml:space="preserve">Zber a vyhodnotenie údajov v Správe prebehlo k termínu 31.03.2015. Vzhľadom na to, že väčšina štatistických údajov bola dostupná len za rok 2014, grafický prehľad porovnania súčasného stavu s cieľovými hodnotami naplánovanými na rok 2020 obsahuje údaje za rok 2014. </w:t>
      </w:r>
      <w:r>
        <w:rPr>
          <w:rFonts w:ascii="Arial" w:hAnsi="Arial" w:cs="Arial"/>
          <w:sz w:val="22"/>
          <w:szCs w:val="22"/>
        </w:rPr>
        <w:t>(P</w:t>
      </w:r>
      <w:r w:rsidRPr="005A1402">
        <w:rPr>
          <w:rFonts w:ascii="Arial" w:hAnsi="Arial" w:cs="Arial"/>
          <w:sz w:val="22"/>
          <w:szCs w:val="22"/>
        </w:rPr>
        <w:t>rehľady pracujú s poslednými dostupnými údajmi)</w:t>
      </w:r>
      <w:r>
        <w:rPr>
          <w:rFonts w:ascii="Arial" w:hAnsi="Arial" w:cs="Arial"/>
          <w:sz w:val="22"/>
          <w:szCs w:val="22"/>
        </w:rPr>
        <w:t>.</w:t>
      </w:r>
    </w:p>
    <w:p w:rsidR="00E535BA" w:rsidRDefault="00E535BA" w:rsidP="00E535BA">
      <w:pPr>
        <w:pStyle w:val="Bezriadkovania"/>
        <w:rPr>
          <w:sz w:val="24"/>
          <w:szCs w:val="24"/>
        </w:rPr>
      </w:pPr>
    </w:p>
    <w:p w:rsidR="00E535BA" w:rsidRPr="005A1402" w:rsidRDefault="00E535BA" w:rsidP="00E535BA">
      <w:pPr>
        <w:pStyle w:val="Bezriadkovania"/>
        <w:rPr>
          <w:rFonts w:cs="Arial"/>
          <w:b/>
          <w:sz w:val="22"/>
        </w:rPr>
      </w:pPr>
      <w:r w:rsidRPr="005A1402">
        <w:rPr>
          <w:rFonts w:cs="Arial"/>
          <w:sz w:val="22"/>
        </w:rPr>
        <w:t xml:space="preserve">Graf 2: Porovnanie hodnôt </w:t>
      </w:r>
      <w:r w:rsidRPr="005A1402">
        <w:rPr>
          <w:rFonts w:cs="Arial"/>
          <w:b/>
          <w:sz w:val="22"/>
        </w:rPr>
        <w:t>PO1: Veda, výskum a inovácie za rok 201</w:t>
      </w:r>
      <w:r>
        <w:rPr>
          <w:rFonts w:cs="Arial"/>
          <w:b/>
          <w:sz w:val="22"/>
        </w:rPr>
        <w:t>4</w:t>
      </w:r>
      <w:r w:rsidRPr="005A1402">
        <w:rPr>
          <w:rFonts w:cs="Arial"/>
          <w:b/>
          <w:sz w:val="22"/>
        </w:rPr>
        <w:t xml:space="preserve"> </w:t>
      </w:r>
      <w:r w:rsidRPr="005A1402">
        <w:rPr>
          <w:rFonts w:cs="Arial"/>
          <w:sz w:val="22"/>
        </w:rPr>
        <w:t xml:space="preserve">s cieľovými hodnotami v roku </w:t>
      </w:r>
      <w:r w:rsidRPr="005A1402">
        <w:rPr>
          <w:rFonts w:cs="Arial"/>
          <w:b/>
          <w:sz w:val="22"/>
        </w:rPr>
        <w:t>2020</w:t>
      </w:r>
      <w:r w:rsidRPr="005A1402">
        <w:rPr>
          <w:rFonts w:cs="Arial"/>
          <w:b/>
          <w:sz w:val="22"/>
        </w:rPr>
        <w:tab/>
      </w:r>
    </w:p>
    <w:p w:rsidR="00E535BA" w:rsidRDefault="00E535BA" w:rsidP="00E535BA">
      <w:pPr>
        <w:pStyle w:val="Bezriadkovania"/>
        <w:rPr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 wp14:anchorId="4AB58C64" wp14:editId="31D7BC82">
            <wp:simplePos x="0" y="0"/>
            <wp:positionH relativeFrom="column">
              <wp:posOffset>-106680</wp:posOffset>
            </wp:positionH>
            <wp:positionV relativeFrom="paragraph">
              <wp:posOffset>130810</wp:posOffset>
            </wp:positionV>
            <wp:extent cx="5857240" cy="2371725"/>
            <wp:effectExtent l="0" t="0" r="10160" b="9525"/>
            <wp:wrapNone/>
            <wp:docPr id="17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 wp14:anchorId="3C679B72" wp14:editId="6DC3448B">
            <wp:simplePos x="0" y="0"/>
            <wp:positionH relativeFrom="column">
              <wp:posOffset>67768</wp:posOffset>
            </wp:positionH>
            <wp:positionV relativeFrom="paragraph">
              <wp:posOffset>76776</wp:posOffset>
            </wp:positionV>
            <wp:extent cx="1826297" cy="425302"/>
            <wp:effectExtent l="0" t="0" r="254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198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35BA" w:rsidRDefault="00E535BA" w:rsidP="00E535BA">
      <w:pPr>
        <w:pStyle w:val="Bezriadkovania"/>
        <w:jc w:val="center"/>
        <w:rPr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62336" behindDoc="1" locked="0" layoutInCell="1" allowOverlap="1" wp14:anchorId="77298A6B" wp14:editId="0FB029E1">
            <wp:simplePos x="0" y="0"/>
            <wp:positionH relativeFrom="column">
              <wp:posOffset>-50800</wp:posOffset>
            </wp:positionH>
            <wp:positionV relativeFrom="paragraph">
              <wp:posOffset>102235</wp:posOffset>
            </wp:positionV>
            <wp:extent cx="1549400" cy="358140"/>
            <wp:effectExtent l="0" t="0" r="0" b="381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35BA" w:rsidRDefault="00E535BA" w:rsidP="00E535BA">
      <w:pPr>
        <w:pStyle w:val="Bezriadkovania"/>
        <w:rPr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tabs>
          <w:tab w:val="left" w:pos="6780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tabs>
          <w:tab w:val="left" w:pos="7920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Pr="005A1402" w:rsidRDefault="00E535BA" w:rsidP="00E535BA">
      <w:pPr>
        <w:pStyle w:val="Bezriadkovania"/>
        <w:rPr>
          <w:rFonts w:cs="Arial"/>
          <w:b/>
          <w:sz w:val="22"/>
          <w:szCs w:val="24"/>
        </w:rPr>
      </w:pPr>
      <w:r w:rsidRPr="005A1402">
        <w:rPr>
          <w:rFonts w:cs="Arial"/>
          <w:sz w:val="22"/>
          <w:szCs w:val="24"/>
        </w:rPr>
        <w:lastRenderedPageBreak/>
        <w:t xml:space="preserve">Graf 3: Porovnanie hodnôt </w:t>
      </w:r>
      <w:r w:rsidRPr="005A1402">
        <w:rPr>
          <w:rFonts w:cs="Arial"/>
          <w:b/>
          <w:sz w:val="22"/>
          <w:szCs w:val="24"/>
        </w:rPr>
        <w:t>PO2: Ľudské zdroje za rok</w:t>
      </w:r>
      <w:r>
        <w:rPr>
          <w:rFonts w:cs="Arial"/>
          <w:b/>
          <w:sz w:val="22"/>
          <w:szCs w:val="24"/>
        </w:rPr>
        <w:t xml:space="preserve"> 2014</w:t>
      </w:r>
      <w:r w:rsidRPr="005A1402">
        <w:rPr>
          <w:rFonts w:cs="Arial"/>
          <w:b/>
          <w:sz w:val="22"/>
          <w:szCs w:val="24"/>
        </w:rPr>
        <w:t xml:space="preserve"> </w:t>
      </w:r>
      <w:r w:rsidRPr="005A1402">
        <w:rPr>
          <w:rFonts w:cs="Arial"/>
          <w:sz w:val="22"/>
          <w:szCs w:val="24"/>
        </w:rPr>
        <w:t xml:space="preserve">s cieľovými hodnotami v roku </w:t>
      </w:r>
      <w:r w:rsidRPr="005A1402">
        <w:rPr>
          <w:rFonts w:cs="Arial"/>
          <w:b/>
          <w:sz w:val="22"/>
          <w:szCs w:val="24"/>
        </w:rPr>
        <w:t>2020</w:t>
      </w:r>
    </w:p>
    <w:p w:rsidR="00E535BA" w:rsidRDefault="00E535BA" w:rsidP="00E535BA">
      <w:pPr>
        <w:pStyle w:val="Bezriadkovania"/>
        <w:rPr>
          <w:rFonts w:cs="Arial"/>
          <w:b/>
          <w:sz w:val="24"/>
          <w:szCs w:val="24"/>
        </w:rPr>
      </w:pPr>
    </w:p>
    <w:p w:rsidR="00E535BA" w:rsidRDefault="00E535BA" w:rsidP="00E535BA">
      <w:pPr>
        <w:pStyle w:val="Bezriadkovania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61312" behindDoc="1" locked="0" layoutInCell="1" allowOverlap="1" wp14:anchorId="74434BB7" wp14:editId="54BCA769">
            <wp:simplePos x="0" y="0"/>
            <wp:positionH relativeFrom="column">
              <wp:posOffset>-157923</wp:posOffset>
            </wp:positionH>
            <wp:positionV relativeFrom="paragraph">
              <wp:posOffset>10663</wp:posOffset>
            </wp:positionV>
            <wp:extent cx="5883215" cy="2587925"/>
            <wp:effectExtent l="0" t="0" r="22860" b="22225"/>
            <wp:wrapNone/>
            <wp:docPr id="20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</wp:anchor>
        </w:drawing>
      </w:r>
    </w:p>
    <w:p w:rsidR="00E535BA" w:rsidRPr="006718A7" w:rsidRDefault="00E535BA" w:rsidP="00E535BA">
      <w:pPr>
        <w:pStyle w:val="Bezriadkovania"/>
        <w:rPr>
          <w:rFonts w:cs="Arial"/>
          <w:noProof/>
          <w:szCs w:val="20"/>
          <w:lang w:eastAsia="sk-SK"/>
        </w:rPr>
      </w:pPr>
    </w:p>
    <w:p w:rsidR="00E535BA" w:rsidRPr="006718A7" w:rsidRDefault="00E535BA" w:rsidP="00E535BA">
      <w:pPr>
        <w:jc w:val="center"/>
        <w:rPr>
          <w:rFonts w:cs="Arial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br w:type="column"/>
      </w:r>
      <w:r w:rsidRPr="005A1402">
        <w:rPr>
          <w:rFonts w:cs="Arial"/>
          <w:sz w:val="22"/>
          <w:szCs w:val="24"/>
        </w:rPr>
        <w:lastRenderedPageBreak/>
        <w:t xml:space="preserve">Graf 4: Porovnanie hodnôt </w:t>
      </w:r>
      <w:r w:rsidRPr="005A1402">
        <w:rPr>
          <w:rFonts w:cs="Arial"/>
          <w:b/>
          <w:sz w:val="22"/>
          <w:szCs w:val="24"/>
        </w:rPr>
        <w:t xml:space="preserve">PO3: Zamestnanosť za rok </w:t>
      </w:r>
      <w:r>
        <w:rPr>
          <w:rFonts w:cs="Arial"/>
          <w:b/>
          <w:sz w:val="22"/>
          <w:szCs w:val="24"/>
        </w:rPr>
        <w:t>2014</w:t>
      </w:r>
      <w:r w:rsidRPr="005A1402">
        <w:rPr>
          <w:rFonts w:cs="Arial"/>
          <w:b/>
          <w:sz w:val="22"/>
          <w:szCs w:val="24"/>
        </w:rPr>
        <w:t xml:space="preserve"> </w:t>
      </w:r>
      <w:r w:rsidRPr="005A1402">
        <w:rPr>
          <w:rFonts w:cs="Arial"/>
          <w:sz w:val="22"/>
          <w:szCs w:val="24"/>
        </w:rPr>
        <w:t xml:space="preserve">s cieľovými hodnotami  v roku </w:t>
      </w:r>
      <w:r w:rsidRPr="005A1402">
        <w:rPr>
          <w:rFonts w:cs="Arial"/>
          <w:b/>
          <w:sz w:val="22"/>
          <w:szCs w:val="24"/>
        </w:rPr>
        <w:t>2020</w:t>
      </w:r>
    </w:p>
    <w:p w:rsidR="00E535BA" w:rsidRDefault="00E535BA" w:rsidP="00E535BA">
      <w:pPr>
        <w:pStyle w:val="Bezriadkovania"/>
        <w:rPr>
          <w:rFonts w:cs="Arial"/>
          <w:szCs w:val="20"/>
        </w:rPr>
      </w:pPr>
      <w:r>
        <w:rPr>
          <w:rFonts w:cs="Arial"/>
          <w:noProof/>
          <w:szCs w:val="20"/>
          <w:lang w:eastAsia="sk-SK"/>
        </w:rPr>
        <w:drawing>
          <wp:anchor distT="0" distB="0" distL="114300" distR="114300" simplePos="0" relativeHeight="251665408" behindDoc="1" locked="0" layoutInCell="1" allowOverlap="1" wp14:anchorId="646F51C4" wp14:editId="1DA0B841">
            <wp:simplePos x="0" y="0"/>
            <wp:positionH relativeFrom="column">
              <wp:posOffset>37465</wp:posOffset>
            </wp:positionH>
            <wp:positionV relativeFrom="paragraph">
              <wp:posOffset>95885</wp:posOffset>
            </wp:positionV>
            <wp:extent cx="1549400" cy="358140"/>
            <wp:effectExtent l="0" t="0" r="0" b="3810"/>
            <wp:wrapNone/>
            <wp:docPr id="1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sz w:val="24"/>
          <w:szCs w:val="24"/>
          <w:lang w:eastAsia="sk-SK"/>
        </w:rPr>
        <w:drawing>
          <wp:anchor distT="0" distB="0" distL="114300" distR="114300" simplePos="0" relativeHeight="251663360" behindDoc="1" locked="0" layoutInCell="1" allowOverlap="1" wp14:anchorId="39C9463E" wp14:editId="79988DF0">
            <wp:simplePos x="0" y="0"/>
            <wp:positionH relativeFrom="column">
              <wp:posOffset>-106165</wp:posOffset>
            </wp:positionH>
            <wp:positionV relativeFrom="paragraph">
              <wp:posOffset>9142</wp:posOffset>
            </wp:positionV>
            <wp:extent cx="5779698" cy="2518913"/>
            <wp:effectExtent l="0" t="0" r="12065" b="15240"/>
            <wp:wrapNone/>
            <wp:docPr id="22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35BA" w:rsidRPr="00DD6C30" w:rsidRDefault="00E535BA" w:rsidP="00E535BA">
      <w:pPr>
        <w:pStyle w:val="Bezriadkovania"/>
        <w:jc w:val="center"/>
        <w:rPr>
          <w:rFonts w:cs="Arial"/>
          <w:szCs w:val="20"/>
        </w:rPr>
      </w:pPr>
    </w:p>
    <w:p w:rsidR="00E535BA" w:rsidRPr="00842B98" w:rsidRDefault="00E535BA" w:rsidP="00E535BA">
      <w:pPr>
        <w:pStyle w:val="Bezriadkovania"/>
        <w:ind w:firstLine="708"/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Pr="005A1402" w:rsidRDefault="00E535BA" w:rsidP="00E535BA">
      <w:pPr>
        <w:pStyle w:val="Bezriadkovania"/>
        <w:rPr>
          <w:rFonts w:cs="Arial"/>
          <w:b/>
          <w:sz w:val="22"/>
          <w:szCs w:val="24"/>
        </w:rPr>
      </w:pPr>
      <w:r w:rsidRPr="005A1402">
        <w:rPr>
          <w:rFonts w:cs="Arial"/>
          <w:sz w:val="22"/>
          <w:szCs w:val="24"/>
        </w:rPr>
        <w:t xml:space="preserve">Graf 5: Porovnanie hodnôt </w:t>
      </w:r>
      <w:r w:rsidRPr="005A1402">
        <w:rPr>
          <w:rFonts w:cs="Arial"/>
          <w:b/>
          <w:sz w:val="22"/>
          <w:szCs w:val="24"/>
        </w:rPr>
        <w:t xml:space="preserve">PO4: Konkurencieschopnosť, rast a podnikateľské prostredie za rok </w:t>
      </w:r>
      <w:r>
        <w:rPr>
          <w:rFonts w:cs="Arial"/>
          <w:b/>
          <w:sz w:val="22"/>
          <w:szCs w:val="24"/>
        </w:rPr>
        <w:t>2014</w:t>
      </w:r>
      <w:r w:rsidRPr="005A1402">
        <w:rPr>
          <w:rFonts w:cs="Arial"/>
          <w:b/>
          <w:sz w:val="22"/>
          <w:szCs w:val="24"/>
        </w:rPr>
        <w:t xml:space="preserve"> </w:t>
      </w:r>
      <w:r w:rsidRPr="005A1402">
        <w:rPr>
          <w:rFonts w:cs="Arial"/>
          <w:sz w:val="22"/>
          <w:szCs w:val="24"/>
        </w:rPr>
        <w:t xml:space="preserve">s cieľovými hodnotami v roku </w:t>
      </w:r>
      <w:r w:rsidRPr="005A1402">
        <w:rPr>
          <w:rFonts w:cs="Arial"/>
          <w:b/>
          <w:sz w:val="22"/>
          <w:szCs w:val="24"/>
        </w:rPr>
        <w:t>2020</w:t>
      </w: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sk-SK"/>
        </w:rPr>
        <w:drawing>
          <wp:anchor distT="0" distB="0" distL="114300" distR="114300" simplePos="0" relativeHeight="251664384" behindDoc="1" locked="0" layoutInCell="1" allowOverlap="1" wp14:anchorId="6C8A3316" wp14:editId="0CD6B96C">
            <wp:simplePos x="0" y="0"/>
            <wp:positionH relativeFrom="column">
              <wp:posOffset>-106165</wp:posOffset>
            </wp:positionH>
            <wp:positionV relativeFrom="paragraph">
              <wp:posOffset>133865</wp:posOffset>
            </wp:positionV>
            <wp:extent cx="5779698" cy="2424023"/>
            <wp:effectExtent l="0" t="0" r="12065" b="14605"/>
            <wp:wrapNone/>
            <wp:docPr id="24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Pr="005A1402" w:rsidRDefault="00E535BA" w:rsidP="00E535BA">
      <w:pPr>
        <w:pStyle w:val="Bezriadkovania"/>
        <w:rPr>
          <w:rFonts w:cs="Arial"/>
          <w:b/>
          <w:sz w:val="22"/>
          <w:szCs w:val="24"/>
        </w:rPr>
      </w:pPr>
      <w:r w:rsidRPr="005A1402">
        <w:rPr>
          <w:rFonts w:cs="Arial"/>
          <w:sz w:val="22"/>
          <w:szCs w:val="24"/>
        </w:rPr>
        <w:t xml:space="preserve">Graf 6: Porovnanie hodnôt </w:t>
      </w:r>
      <w:r w:rsidRPr="005A1402">
        <w:rPr>
          <w:rFonts w:cs="Arial"/>
          <w:b/>
          <w:sz w:val="22"/>
          <w:szCs w:val="24"/>
        </w:rPr>
        <w:t xml:space="preserve">PO: Životné prostredie, zmeny klímy a obnoviteľné zdroje za rok </w:t>
      </w:r>
      <w:r>
        <w:rPr>
          <w:rFonts w:cs="Arial"/>
          <w:b/>
          <w:sz w:val="22"/>
          <w:szCs w:val="24"/>
        </w:rPr>
        <w:t>2014</w:t>
      </w:r>
      <w:r w:rsidRPr="005A1402">
        <w:rPr>
          <w:rFonts w:cs="Arial"/>
          <w:b/>
          <w:sz w:val="22"/>
          <w:szCs w:val="24"/>
        </w:rPr>
        <w:t xml:space="preserve"> </w:t>
      </w:r>
      <w:r w:rsidRPr="005A1402">
        <w:rPr>
          <w:rFonts w:cs="Arial"/>
          <w:sz w:val="22"/>
          <w:szCs w:val="24"/>
        </w:rPr>
        <w:t xml:space="preserve">s cieľovými hodnotami v roku </w:t>
      </w:r>
      <w:r w:rsidRPr="005A1402">
        <w:rPr>
          <w:rFonts w:cs="Arial"/>
          <w:b/>
          <w:sz w:val="22"/>
          <w:szCs w:val="24"/>
        </w:rPr>
        <w:t>2020</w:t>
      </w: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sk-SK"/>
        </w:rPr>
        <w:drawing>
          <wp:anchor distT="0" distB="0" distL="114300" distR="114300" simplePos="0" relativeHeight="251666432" behindDoc="1" locked="0" layoutInCell="1" allowOverlap="1" wp14:anchorId="24942367" wp14:editId="621EDE9D">
            <wp:simplePos x="0" y="0"/>
            <wp:positionH relativeFrom="column">
              <wp:posOffset>-106164</wp:posOffset>
            </wp:positionH>
            <wp:positionV relativeFrom="paragraph">
              <wp:posOffset>53556</wp:posOffset>
            </wp:positionV>
            <wp:extent cx="5779698" cy="2553419"/>
            <wp:effectExtent l="0" t="0" r="12065" b="18415"/>
            <wp:wrapNone/>
            <wp:docPr id="26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  <w:rPr>
          <w:rFonts w:cs="Arial"/>
          <w:sz w:val="24"/>
          <w:szCs w:val="24"/>
        </w:rPr>
      </w:pPr>
    </w:p>
    <w:p w:rsidR="00E535BA" w:rsidRDefault="00E535BA" w:rsidP="00E535BA">
      <w:pPr>
        <w:pStyle w:val="Bezriadkovania"/>
      </w:pPr>
    </w:p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Analýza prostredia vplývajúceho na prioritné osi</w:t>
      </w:r>
    </w:p>
    <w:p w:rsidR="00E535BA" w:rsidRPr="004C68DC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68DC">
        <w:rPr>
          <w:rFonts w:ascii="Arial" w:hAnsi="Arial" w:cs="Arial"/>
          <w:sz w:val="22"/>
          <w:szCs w:val="22"/>
        </w:rPr>
        <w:t>V rámci monitorovania prostredia vplývajúceho na plnenie PHSR BSK 2014-2020 boli </w:t>
      </w:r>
      <w:r>
        <w:rPr>
          <w:rFonts w:ascii="Arial" w:hAnsi="Arial" w:cs="Arial"/>
          <w:sz w:val="22"/>
          <w:szCs w:val="22"/>
        </w:rPr>
        <w:t>identifikované nasledovné trendy, ktoré najviac vplývajú</w:t>
      </w:r>
      <w:r w:rsidRPr="004C68DC">
        <w:rPr>
          <w:rFonts w:ascii="Arial" w:hAnsi="Arial" w:cs="Arial"/>
          <w:sz w:val="22"/>
          <w:szCs w:val="22"/>
        </w:rPr>
        <w:t xml:space="preserve"> na prioritné osi.</w:t>
      </w:r>
      <w:r>
        <w:rPr>
          <w:rFonts w:ascii="Arial" w:hAnsi="Arial" w:cs="Arial"/>
          <w:sz w:val="22"/>
          <w:szCs w:val="22"/>
        </w:rPr>
        <w:t xml:space="preserve"> Detailnejšie rozpracovanie analýzy prostredia vplývajúceho na prioritné osi je uvedená priamo v Správe. Vplyv prostredia bol skúmaný na úrovni prostredia Európskej únie, prostredia Slovenskej republiky a prostredia Bratislavského kraja. </w:t>
      </w:r>
    </w:p>
    <w:tbl>
      <w:tblPr>
        <w:tblStyle w:val="Mriekatabuky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535BA" w:rsidRPr="00FF4BE9" w:rsidTr="00327AFE">
        <w:tc>
          <w:tcPr>
            <w:tcW w:w="2830" w:type="dxa"/>
            <w:shd w:val="clear" w:color="auto" w:fill="1F497D" w:themeFill="text2"/>
          </w:tcPr>
          <w:p w:rsidR="00E535BA" w:rsidRPr="00FF4BE9" w:rsidRDefault="00E535BA" w:rsidP="00327AFE">
            <w:pPr>
              <w:pStyle w:val="Bezriadkovania"/>
              <w:rPr>
                <w:rFonts w:cs="Arial"/>
                <w:color w:val="FFFFFF" w:themeColor="background1"/>
                <w:sz w:val="22"/>
              </w:rPr>
            </w:pPr>
            <w:r w:rsidRPr="00FF4BE9">
              <w:rPr>
                <w:rFonts w:cs="Arial"/>
                <w:color w:val="FFFFFF" w:themeColor="background1"/>
                <w:sz w:val="22"/>
              </w:rPr>
              <w:t>Prioritná os</w:t>
            </w:r>
          </w:p>
        </w:tc>
        <w:tc>
          <w:tcPr>
            <w:tcW w:w="6232" w:type="dxa"/>
            <w:shd w:val="clear" w:color="auto" w:fill="1F497D" w:themeFill="text2"/>
          </w:tcPr>
          <w:p w:rsidR="00E535BA" w:rsidRPr="00FF4BE9" w:rsidRDefault="00E535BA" w:rsidP="00327AFE">
            <w:pPr>
              <w:pStyle w:val="Bezriadkovania"/>
              <w:rPr>
                <w:rFonts w:cs="Arial"/>
                <w:color w:val="FFFFFF" w:themeColor="background1"/>
                <w:sz w:val="22"/>
              </w:rPr>
            </w:pPr>
            <w:r w:rsidRPr="00FF4BE9">
              <w:rPr>
                <w:rFonts w:cs="Arial"/>
                <w:color w:val="FFFFFF" w:themeColor="background1"/>
                <w:sz w:val="22"/>
              </w:rPr>
              <w:t>Pozitívne trendy sledovaného obdobia</w:t>
            </w:r>
          </w:p>
        </w:tc>
      </w:tr>
      <w:tr w:rsidR="00E535BA" w:rsidRPr="00FF4BE9" w:rsidTr="00327AFE">
        <w:tc>
          <w:tcPr>
            <w:tcW w:w="2830" w:type="dxa"/>
            <w:vAlign w:val="center"/>
          </w:tcPr>
          <w:p w:rsidR="00E535BA" w:rsidRPr="00FF4BE9" w:rsidRDefault="00E535BA" w:rsidP="00327AFE">
            <w:pPr>
              <w:pStyle w:val="Bezriadkovania"/>
              <w:jc w:val="left"/>
              <w:rPr>
                <w:rFonts w:cs="Arial"/>
                <w:sz w:val="22"/>
              </w:rPr>
            </w:pPr>
            <w:r w:rsidRPr="00FF4BE9">
              <w:rPr>
                <w:rFonts w:cs="Arial"/>
                <w:sz w:val="22"/>
              </w:rPr>
              <w:t>1. Veda, výskum a inovácie</w:t>
            </w:r>
          </w:p>
        </w:tc>
        <w:tc>
          <w:tcPr>
            <w:tcW w:w="6232" w:type="dxa"/>
          </w:tcPr>
          <w:p w:rsidR="00E535BA" w:rsidRPr="00FF4BE9" w:rsidRDefault="00E535BA" w:rsidP="00327AFE">
            <w:pPr>
              <w:jc w:val="both"/>
              <w:rPr>
                <w:rFonts w:ascii="Arial" w:hAnsi="Arial" w:cs="Arial"/>
                <w:b/>
              </w:rPr>
            </w:pPr>
            <w:r w:rsidRPr="00FF4BE9">
              <w:rPr>
                <w:rFonts w:ascii="Arial" w:hAnsi="Arial" w:cs="Arial"/>
                <w:sz w:val="20"/>
                <w:szCs w:val="20"/>
              </w:rPr>
              <w:t>Zavedenie Akčného plánu implementácie Stratégie výskumu a inovácií pre inteligentnú špecializáciu SR na roky 2015 -2016;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FF4BE9">
              <w:rPr>
                <w:rFonts w:ascii="Arial" w:hAnsi="Arial" w:cs="Arial"/>
                <w:sz w:val="20"/>
                <w:szCs w:val="20"/>
              </w:rPr>
              <w:t xml:space="preserve">avedenie Stratégie rozvoja </w:t>
            </w:r>
            <w:proofErr w:type="spellStart"/>
            <w:r w:rsidRPr="00FF4BE9">
              <w:rPr>
                <w:rFonts w:ascii="Arial" w:hAnsi="Arial" w:cs="Arial"/>
                <w:sz w:val="20"/>
                <w:szCs w:val="20"/>
              </w:rPr>
              <w:t>elektromobility</w:t>
            </w:r>
            <w:proofErr w:type="spellEnd"/>
            <w:r w:rsidRPr="00FF4BE9">
              <w:rPr>
                <w:rFonts w:ascii="Arial" w:hAnsi="Arial" w:cs="Arial"/>
                <w:sz w:val="20"/>
                <w:szCs w:val="20"/>
              </w:rPr>
              <w:t xml:space="preserve"> v Slovenskej republike a jej vplyv na národné hospodárstvo Slovenskej republiky</w:t>
            </w:r>
            <w:r>
              <w:rPr>
                <w:rFonts w:ascii="Arial" w:hAnsi="Arial" w:cs="Arial"/>
                <w:sz w:val="20"/>
                <w:szCs w:val="20"/>
              </w:rPr>
              <w:t xml:space="preserve">, nárast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high-tech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exportu v % na celkovom exporte SR, zvýšenie podielu domácností pripojených k širokopásmovému internetu</w:t>
            </w:r>
          </w:p>
        </w:tc>
      </w:tr>
      <w:tr w:rsidR="00E535BA" w:rsidRPr="00FF4BE9" w:rsidTr="00327AFE">
        <w:tc>
          <w:tcPr>
            <w:tcW w:w="2830" w:type="dxa"/>
            <w:vAlign w:val="center"/>
          </w:tcPr>
          <w:p w:rsidR="00E535BA" w:rsidRPr="00FF4BE9" w:rsidRDefault="00E535BA" w:rsidP="00327AFE">
            <w:pPr>
              <w:rPr>
                <w:rFonts w:ascii="Arial" w:hAnsi="Arial" w:cs="Arial"/>
                <w:sz w:val="22"/>
                <w:szCs w:val="22"/>
              </w:rPr>
            </w:pPr>
            <w:r w:rsidRPr="00FF4BE9">
              <w:rPr>
                <w:rFonts w:ascii="Arial" w:hAnsi="Arial" w:cs="Arial"/>
                <w:sz w:val="22"/>
                <w:szCs w:val="22"/>
              </w:rPr>
              <w:t>2. Ľudské zdroje</w:t>
            </w:r>
          </w:p>
        </w:tc>
        <w:tc>
          <w:tcPr>
            <w:tcW w:w="6232" w:type="dxa"/>
          </w:tcPr>
          <w:p w:rsidR="00E535BA" w:rsidRPr="00FF4BE9" w:rsidRDefault="00E535BA" w:rsidP="0032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BE9">
              <w:rPr>
                <w:rFonts w:ascii="Arial" w:hAnsi="Arial" w:cs="Arial"/>
                <w:sz w:val="20"/>
                <w:szCs w:val="20"/>
              </w:rPr>
              <w:t>Zavedenie Podpornej schémy na návrat odborníkov zo zahraničia</w:t>
            </w:r>
            <w:r>
              <w:rPr>
                <w:rFonts w:ascii="Arial" w:hAnsi="Arial" w:cs="Arial"/>
                <w:sz w:val="20"/>
                <w:szCs w:val="20"/>
              </w:rPr>
              <w:t>, zavedenie Národného akčného</w:t>
            </w:r>
            <w:r w:rsidRPr="00FF4BE9">
              <w:rPr>
                <w:rFonts w:ascii="Arial" w:hAnsi="Arial" w:cs="Arial"/>
                <w:sz w:val="20"/>
                <w:szCs w:val="20"/>
              </w:rPr>
              <w:t xml:space="preserve"> plán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FF4BE9">
              <w:rPr>
                <w:rFonts w:ascii="Arial" w:hAnsi="Arial" w:cs="Arial"/>
                <w:sz w:val="20"/>
                <w:szCs w:val="20"/>
              </w:rPr>
              <w:t xml:space="preserve"> v prevencii obezity na roky 2015 – 2025</w:t>
            </w:r>
            <w:r>
              <w:rPr>
                <w:rFonts w:ascii="Arial" w:hAnsi="Arial" w:cs="Arial"/>
                <w:sz w:val="20"/>
                <w:szCs w:val="20"/>
              </w:rPr>
              <w:t xml:space="preserve">, schválenie </w:t>
            </w:r>
            <w:r w:rsidRPr="00FF4BE9">
              <w:rPr>
                <w:rFonts w:ascii="Arial" w:hAnsi="Arial" w:cs="Arial"/>
                <w:sz w:val="20"/>
                <w:szCs w:val="20"/>
              </w:rPr>
              <w:t>Koncepci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FF4BE9">
              <w:rPr>
                <w:rFonts w:ascii="Arial" w:hAnsi="Arial" w:cs="Arial"/>
                <w:sz w:val="20"/>
                <w:szCs w:val="20"/>
              </w:rPr>
              <w:t xml:space="preserve"> rozvoja práce s mládežou na roky 2016 – 2020</w:t>
            </w:r>
            <w:r>
              <w:rPr>
                <w:rFonts w:ascii="Arial" w:hAnsi="Arial" w:cs="Arial"/>
                <w:sz w:val="20"/>
                <w:szCs w:val="20"/>
              </w:rPr>
              <w:t>, nárast celkového</w:t>
            </w:r>
            <w:r w:rsidRPr="00FF4BE9">
              <w:rPr>
                <w:rFonts w:ascii="Arial" w:hAnsi="Arial" w:cs="Arial"/>
                <w:sz w:val="20"/>
                <w:szCs w:val="20"/>
              </w:rPr>
              <w:t xml:space="preserve"> prírastok obyvateľstva na 1000 obyvateľov</w:t>
            </w:r>
          </w:p>
        </w:tc>
      </w:tr>
      <w:tr w:rsidR="00E535BA" w:rsidRPr="00FF4BE9" w:rsidTr="00327AFE">
        <w:tc>
          <w:tcPr>
            <w:tcW w:w="2830" w:type="dxa"/>
            <w:vAlign w:val="center"/>
          </w:tcPr>
          <w:p w:rsidR="00E535BA" w:rsidRPr="00FF4BE9" w:rsidRDefault="00E535BA" w:rsidP="00327AFE">
            <w:pPr>
              <w:pStyle w:val="Bezriadkovania"/>
              <w:jc w:val="left"/>
              <w:rPr>
                <w:rFonts w:cs="Arial"/>
                <w:sz w:val="22"/>
              </w:rPr>
            </w:pPr>
            <w:r w:rsidRPr="00FF4BE9">
              <w:rPr>
                <w:rFonts w:cs="Arial"/>
                <w:sz w:val="22"/>
              </w:rPr>
              <w:t>3. Zamestnanosť</w:t>
            </w:r>
          </w:p>
        </w:tc>
        <w:tc>
          <w:tcPr>
            <w:tcW w:w="6232" w:type="dxa"/>
          </w:tcPr>
          <w:p w:rsidR="00E535BA" w:rsidRPr="00FF4BE9" w:rsidRDefault="00E535BA" w:rsidP="00327AFE">
            <w:pPr>
              <w:jc w:val="both"/>
              <w:rPr>
                <w:rFonts w:ascii="Arial" w:hAnsi="Arial" w:cs="Arial"/>
                <w:sz w:val="22"/>
              </w:rPr>
            </w:pPr>
            <w:r w:rsidRPr="00FF4BE9">
              <w:rPr>
                <w:rFonts w:ascii="Arial" w:hAnsi="Arial" w:cs="Arial"/>
                <w:sz w:val="20"/>
                <w:szCs w:val="20"/>
              </w:rPr>
              <w:t>Podpora projektov prístavby, výstavby a rekonštrukcie priestorov pre potreby materských škôl Ministerstvom školstva, vedy, výskumu a športu v hodnote 9,5 mil. €.</w:t>
            </w:r>
            <w:r>
              <w:rPr>
                <w:rFonts w:ascii="Arial" w:hAnsi="Arial" w:cs="Arial"/>
                <w:sz w:val="20"/>
                <w:szCs w:val="20"/>
              </w:rPr>
              <w:t>, zavedenie Stratégie</w:t>
            </w:r>
            <w:r w:rsidRPr="00FF4BE9">
              <w:rPr>
                <w:rFonts w:ascii="Arial" w:hAnsi="Arial" w:cs="Arial"/>
                <w:sz w:val="20"/>
                <w:szCs w:val="20"/>
              </w:rPr>
              <w:t xml:space="preserve"> rozvoja turizmu v BK do roku 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schválenie </w:t>
            </w:r>
            <w:r w:rsidRPr="00FF4BE9">
              <w:rPr>
                <w:rFonts w:ascii="Arial" w:hAnsi="Arial" w:cs="Arial"/>
                <w:sz w:val="20"/>
                <w:szCs w:val="20"/>
              </w:rPr>
              <w:t>Návrh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FF4BE9">
              <w:rPr>
                <w:rFonts w:ascii="Arial" w:hAnsi="Arial" w:cs="Arial"/>
                <w:sz w:val="20"/>
                <w:szCs w:val="20"/>
              </w:rPr>
              <w:t xml:space="preserve"> zákona, ktorým sa mení a dopĺňa zákon č. 561/2008 Z. z. o príspevku na starostlivosť o dieťa a o zmene a doplnení niektorých zákonov v znení neskorších predpisov</w:t>
            </w:r>
          </w:p>
        </w:tc>
      </w:tr>
      <w:tr w:rsidR="00E535BA" w:rsidRPr="00FF4BE9" w:rsidTr="00327AFE">
        <w:tc>
          <w:tcPr>
            <w:tcW w:w="2830" w:type="dxa"/>
            <w:vAlign w:val="center"/>
          </w:tcPr>
          <w:p w:rsidR="00E535BA" w:rsidRPr="00FF4BE9" w:rsidRDefault="00E535BA" w:rsidP="00327AFE">
            <w:pPr>
              <w:pStyle w:val="Bezriadkovania"/>
              <w:jc w:val="left"/>
              <w:rPr>
                <w:rFonts w:cs="Arial"/>
                <w:sz w:val="22"/>
              </w:rPr>
            </w:pPr>
            <w:r w:rsidRPr="00FF4BE9">
              <w:rPr>
                <w:rFonts w:cs="Arial"/>
                <w:sz w:val="22"/>
              </w:rPr>
              <w:t>4.Konkurencieschopnosť, rast a podnikateľské prostredie</w:t>
            </w:r>
          </w:p>
        </w:tc>
        <w:tc>
          <w:tcPr>
            <w:tcW w:w="6232" w:type="dxa"/>
          </w:tcPr>
          <w:p w:rsidR="00E535BA" w:rsidRPr="00FF4BE9" w:rsidRDefault="00E535BA" w:rsidP="00327AFE">
            <w:pPr>
              <w:jc w:val="both"/>
              <w:rPr>
                <w:rFonts w:ascii="Arial" w:hAnsi="Arial" w:cs="Arial"/>
                <w:sz w:val="22"/>
              </w:rPr>
            </w:pPr>
            <w:r w:rsidRPr="00FF4BE9">
              <w:rPr>
                <w:rFonts w:ascii="Arial" w:hAnsi="Arial" w:cs="Arial"/>
                <w:sz w:val="20"/>
                <w:szCs w:val="20"/>
              </w:rPr>
              <w:t xml:space="preserve">Zavedenie Koncepcie pre podporu </w:t>
            </w:r>
            <w:proofErr w:type="spellStart"/>
            <w:r w:rsidRPr="00FF4BE9">
              <w:rPr>
                <w:rFonts w:ascii="Arial" w:hAnsi="Arial" w:cs="Arial"/>
                <w:sz w:val="20"/>
                <w:szCs w:val="20"/>
              </w:rPr>
              <w:t>startupov</w:t>
            </w:r>
            <w:proofErr w:type="spellEnd"/>
            <w:r w:rsidRPr="00FF4BE9">
              <w:rPr>
                <w:rFonts w:ascii="Arial" w:hAnsi="Arial" w:cs="Arial"/>
                <w:sz w:val="20"/>
                <w:szCs w:val="20"/>
              </w:rPr>
              <w:t xml:space="preserve"> a rozvoj </w:t>
            </w:r>
            <w:proofErr w:type="spellStart"/>
            <w:r w:rsidRPr="00FF4BE9">
              <w:rPr>
                <w:rFonts w:ascii="Arial" w:hAnsi="Arial" w:cs="Arial"/>
                <w:sz w:val="20"/>
                <w:szCs w:val="20"/>
              </w:rPr>
              <w:t>startupového</w:t>
            </w:r>
            <w:proofErr w:type="spellEnd"/>
            <w:r w:rsidRPr="00FF4BE9">
              <w:rPr>
                <w:rFonts w:ascii="Arial" w:hAnsi="Arial" w:cs="Arial"/>
                <w:sz w:val="20"/>
                <w:szCs w:val="20"/>
              </w:rPr>
              <w:t xml:space="preserve"> ekosystému v Slovenskej republike</w:t>
            </w:r>
            <w:r>
              <w:rPr>
                <w:rFonts w:ascii="Arial" w:hAnsi="Arial" w:cs="Arial"/>
                <w:sz w:val="20"/>
                <w:szCs w:val="20"/>
              </w:rPr>
              <w:t xml:space="preserve">, schválenie </w:t>
            </w:r>
            <w:r w:rsidRPr="00FF4BE9">
              <w:rPr>
                <w:rFonts w:ascii="Arial" w:hAnsi="Arial" w:cs="Arial"/>
                <w:sz w:val="20"/>
                <w:szCs w:val="20"/>
              </w:rPr>
              <w:t>Návrh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FF4BE9">
              <w:rPr>
                <w:rFonts w:ascii="Arial" w:hAnsi="Arial" w:cs="Arial"/>
                <w:sz w:val="20"/>
                <w:szCs w:val="20"/>
              </w:rPr>
              <w:t xml:space="preserve"> zákona o finančných nástrojoch financovaných z európskych štrukturálnych a investičných fondov a o zmene a doplnení niektorých zákonov</w:t>
            </w:r>
            <w:r>
              <w:rPr>
                <w:rFonts w:ascii="Arial" w:hAnsi="Arial" w:cs="Arial"/>
                <w:sz w:val="20"/>
                <w:szCs w:val="20"/>
              </w:rPr>
              <w:t xml:space="preserve">, zavedenie </w:t>
            </w:r>
            <w:r w:rsidRPr="00FF4BE9">
              <w:rPr>
                <w:rFonts w:ascii="Arial" w:hAnsi="Arial" w:cs="Arial"/>
                <w:sz w:val="20"/>
                <w:szCs w:val="20"/>
              </w:rPr>
              <w:t>Stratégi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FF4BE9">
              <w:rPr>
                <w:rFonts w:ascii="Arial" w:hAnsi="Arial" w:cs="Arial"/>
                <w:sz w:val="20"/>
                <w:szCs w:val="20"/>
              </w:rPr>
              <w:t xml:space="preserve"> budovania „Značky kvality SK“</w:t>
            </w:r>
            <w:r>
              <w:rPr>
                <w:rFonts w:ascii="Arial" w:hAnsi="Arial" w:cs="Arial"/>
                <w:sz w:val="20"/>
                <w:szCs w:val="20"/>
              </w:rPr>
              <w:t xml:space="preserve">, zavedenie </w:t>
            </w:r>
            <w:r w:rsidRPr="00734E11">
              <w:rPr>
                <w:rFonts w:ascii="Arial" w:hAnsi="Arial" w:cs="Arial"/>
                <w:sz w:val="20"/>
                <w:szCs w:val="20"/>
              </w:rPr>
              <w:t>Návrh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34E11">
              <w:rPr>
                <w:rFonts w:ascii="Arial" w:hAnsi="Arial" w:cs="Arial"/>
                <w:sz w:val="20"/>
                <w:szCs w:val="20"/>
              </w:rPr>
              <w:t xml:space="preserve"> medzirezortného programu Informačná spoločnosť 2014-2020</w:t>
            </w:r>
            <w:r>
              <w:rPr>
                <w:rFonts w:ascii="Arial" w:hAnsi="Arial" w:cs="Arial"/>
                <w:sz w:val="20"/>
                <w:szCs w:val="20"/>
              </w:rPr>
              <w:t>, zvýšenie HDP na obyvateľa v PKS, zvýšenie počtu podnikateľských subjektov</w:t>
            </w:r>
          </w:p>
        </w:tc>
      </w:tr>
      <w:tr w:rsidR="00E535BA" w:rsidRPr="00FF4BE9" w:rsidTr="00327AFE">
        <w:tc>
          <w:tcPr>
            <w:tcW w:w="2830" w:type="dxa"/>
            <w:vAlign w:val="center"/>
          </w:tcPr>
          <w:p w:rsidR="00E535BA" w:rsidRPr="00FF4BE9" w:rsidRDefault="00E535BA" w:rsidP="00327AFE">
            <w:pPr>
              <w:pStyle w:val="Bezriadkovania"/>
              <w:jc w:val="left"/>
              <w:rPr>
                <w:rFonts w:cs="Arial"/>
                <w:sz w:val="22"/>
              </w:rPr>
            </w:pPr>
            <w:r w:rsidRPr="00FF4BE9">
              <w:rPr>
                <w:rFonts w:cs="Arial"/>
                <w:sz w:val="22"/>
              </w:rPr>
              <w:t>5. Životné prostredie, zmeny klímy a obnoviteľné zdroje energie</w:t>
            </w:r>
          </w:p>
        </w:tc>
        <w:tc>
          <w:tcPr>
            <w:tcW w:w="6232" w:type="dxa"/>
          </w:tcPr>
          <w:p w:rsidR="00E535BA" w:rsidRPr="00FF4BE9" w:rsidRDefault="00E535BA" w:rsidP="00327AFE">
            <w:pPr>
              <w:jc w:val="both"/>
              <w:rPr>
                <w:rFonts w:ascii="Arial" w:hAnsi="Arial" w:cs="Arial"/>
                <w:sz w:val="22"/>
              </w:rPr>
            </w:pPr>
            <w:r w:rsidRPr="00734E11">
              <w:rPr>
                <w:rFonts w:ascii="Arial" w:hAnsi="Arial" w:cs="Arial"/>
                <w:sz w:val="20"/>
                <w:szCs w:val="20"/>
              </w:rPr>
              <w:t>Zavedenie Východísk implementácie agendy 2030 pre udržateľný rozvoj</w:t>
            </w:r>
            <w:r>
              <w:rPr>
                <w:rFonts w:ascii="Arial" w:hAnsi="Arial" w:cs="Arial"/>
                <w:sz w:val="20"/>
                <w:szCs w:val="20"/>
              </w:rPr>
              <w:t>, zavedenie Vodného</w:t>
            </w:r>
            <w:r w:rsidRPr="00734E11">
              <w:rPr>
                <w:rFonts w:ascii="Arial" w:hAnsi="Arial" w:cs="Arial"/>
                <w:sz w:val="20"/>
                <w:szCs w:val="20"/>
              </w:rPr>
              <w:t xml:space="preserve"> plán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34E11">
              <w:rPr>
                <w:rFonts w:ascii="Arial" w:hAnsi="Arial" w:cs="Arial"/>
                <w:sz w:val="20"/>
                <w:szCs w:val="20"/>
              </w:rPr>
              <w:t xml:space="preserve"> Slovenska</w:t>
            </w:r>
            <w:r>
              <w:rPr>
                <w:rFonts w:ascii="Arial" w:hAnsi="Arial" w:cs="Arial"/>
                <w:sz w:val="20"/>
                <w:szCs w:val="20"/>
              </w:rPr>
              <w:t>, zavedenie Aktualizácie</w:t>
            </w:r>
            <w:r w:rsidRPr="00734E11">
              <w:rPr>
                <w:rFonts w:ascii="Arial" w:hAnsi="Arial" w:cs="Arial"/>
                <w:sz w:val="20"/>
                <w:szCs w:val="20"/>
              </w:rPr>
              <w:t xml:space="preserve"> súboru indikátorov stavu a ochrany biodiverzity na Slovensku</w:t>
            </w:r>
            <w:r>
              <w:rPr>
                <w:rFonts w:ascii="Arial" w:hAnsi="Arial" w:cs="Arial"/>
                <w:sz w:val="20"/>
                <w:szCs w:val="20"/>
              </w:rPr>
              <w:t>, zvýšenie podielu OZE na hrubej konečnej spotrebe, nárast podielu zhodnocovaného komunálneho odpadu.</w:t>
            </w:r>
          </w:p>
        </w:tc>
      </w:tr>
    </w:tbl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E535BA" w:rsidRPr="00805846" w:rsidRDefault="00E535BA" w:rsidP="00E535B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3. Hodnotiaca časť</w:t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Detailnejší popis obsahuje samotná Správa v ktorej sme sa zamerali najmä na komplexný pohľad plnenia opatrení projektmi úradu BSK a ich aktuálnym stavom rozpracovania. Stav projektov je vyjadrený prostredníctvom 4 fáz: zámer, projektová dokumentácia, žiadosť o NFP, realizácia projektu. Každá fáza predstavuje 25% rozpracovanosti projektu. </w:t>
      </w:r>
    </w:p>
    <w:p w:rsidR="00E535BA" w:rsidRPr="00805846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Prehľad 101 projektov A</w:t>
      </w:r>
      <w:r w:rsidRPr="00805846">
        <w:rPr>
          <w:rFonts w:ascii="Arial" w:hAnsi="Arial" w:cs="Arial"/>
          <w:sz w:val="22"/>
          <w:szCs w:val="22"/>
        </w:rPr>
        <w:t xml:space="preserve">kčného plánu </w:t>
      </w:r>
      <w:r>
        <w:rPr>
          <w:rFonts w:ascii="Arial" w:hAnsi="Arial" w:cs="Arial"/>
          <w:sz w:val="22"/>
          <w:szCs w:val="22"/>
        </w:rPr>
        <w:t>BSK rozdelených podľa opatrení v grafickom prevedení</w:t>
      </w:r>
    </w:p>
    <w:p w:rsidR="00E535BA" w:rsidRPr="006718A7" w:rsidRDefault="00E535BA" w:rsidP="00E535BA">
      <w:pPr>
        <w:pStyle w:val="Bezriadkovania"/>
        <w:rPr>
          <w:rFonts w:cs="Arial"/>
        </w:rPr>
      </w:pPr>
      <w:r>
        <w:rPr>
          <w:rFonts w:cs="Arial"/>
          <w:noProof/>
          <w:lang w:eastAsia="sk-SK"/>
        </w:rPr>
        <w:drawing>
          <wp:inline distT="0" distB="0" distL="0" distR="0" wp14:anchorId="554F0FB7" wp14:editId="551AC1C9">
            <wp:extent cx="5760720" cy="2903477"/>
            <wp:effectExtent l="0" t="0" r="11430" b="11430"/>
            <wp:docPr id="1" name="Graf 29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535BA" w:rsidRDefault="00E535BA" w:rsidP="00E535B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E535BA" w:rsidRDefault="00E535BA" w:rsidP="00E535B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Návrhová časť - o</w:t>
      </w:r>
      <w:r w:rsidRPr="002F5D93">
        <w:rPr>
          <w:rFonts w:ascii="Arial" w:hAnsi="Arial" w:cs="Arial"/>
          <w:b/>
          <w:sz w:val="22"/>
          <w:szCs w:val="22"/>
        </w:rPr>
        <w:t>patrenia na rok 2016</w:t>
      </w:r>
    </w:p>
    <w:p w:rsidR="00E535BA" w:rsidRPr="00D068EC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068EC">
        <w:rPr>
          <w:rFonts w:ascii="Arial" w:hAnsi="Arial" w:cs="Arial"/>
          <w:sz w:val="22"/>
          <w:szCs w:val="22"/>
        </w:rPr>
        <w:t xml:space="preserve">Opatrenie na rok 2016 sa sústreďuje na vylepšenie prepojenia medzi dvoma základnými programovými dokumentmi: Programom hospodárskeho rozvoja a sociálneho rozvoja BSK na roky 2014-2020 a programovým rozpočtom BSK. </w:t>
      </w:r>
      <w:r>
        <w:rPr>
          <w:rFonts w:ascii="Arial" w:hAnsi="Arial" w:cs="Arial"/>
          <w:sz w:val="22"/>
          <w:szCs w:val="22"/>
        </w:rPr>
        <w:lastRenderedPageBreak/>
        <w:t xml:space="preserve">Prostredníctvom vytvorenia spoločného číselníka merateľných ukazovateľov vytvoríme spoločný rámec pre monitorovanie a hodnotenie pokroku oboch programov. </w:t>
      </w:r>
    </w:p>
    <w:p w:rsidR="00E535BA" w:rsidRPr="002F5D93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F5D93">
        <w:rPr>
          <w:rFonts w:ascii="Arial" w:hAnsi="Arial" w:cs="Arial"/>
          <w:sz w:val="22"/>
          <w:szCs w:val="22"/>
        </w:rPr>
        <w:t>(formát označovania: "prioritn</w:t>
      </w:r>
      <w:r>
        <w:rPr>
          <w:rFonts w:ascii="Arial" w:hAnsi="Arial" w:cs="Arial"/>
          <w:sz w:val="22"/>
          <w:szCs w:val="22"/>
        </w:rPr>
        <w:t xml:space="preserve">á os číslo-opatrenie za rok, </w:t>
      </w:r>
      <w:r w:rsidRPr="002F5D93">
        <w:rPr>
          <w:rFonts w:ascii="Arial" w:hAnsi="Arial" w:cs="Arial"/>
          <w:sz w:val="22"/>
          <w:szCs w:val="22"/>
        </w:rPr>
        <w:t>poradie opatrenia")</w:t>
      </w:r>
    </w:p>
    <w:tbl>
      <w:tblPr>
        <w:tblStyle w:val="Mriekatabuky"/>
        <w:tblpPr w:leftFromText="180" w:rightFromText="180" w:vertAnchor="text" w:tblpY="1"/>
        <w:tblOverlap w:val="never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85"/>
        <w:gridCol w:w="6577"/>
      </w:tblGrid>
      <w:tr w:rsidR="00E535BA" w:rsidRPr="002F5D93" w:rsidTr="00327AFE">
        <w:tc>
          <w:tcPr>
            <w:tcW w:w="1371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color w:val="FFFFFF" w:themeColor="background1"/>
                <w:sz w:val="22"/>
              </w:rPr>
            </w:pPr>
            <w:r w:rsidRPr="002F5D93">
              <w:rPr>
                <w:b/>
                <w:color w:val="FFFFFF" w:themeColor="background1"/>
                <w:sz w:val="22"/>
              </w:rPr>
              <w:t>Označenie</w:t>
            </w:r>
          </w:p>
        </w:tc>
        <w:tc>
          <w:tcPr>
            <w:tcW w:w="3629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color w:val="FFFFFF" w:themeColor="background1"/>
                <w:sz w:val="22"/>
              </w:rPr>
            </w:pPr>
            <w:r w:rsidRPr="002F5D93">
              <w:rPr>
                <w:b/>
                <w:color w:val="FFFFFF" w:themeColor="background1"/>
                <w:sz w:val="22"/>
              </w:rPr>
              <w:t>Všeobecné opatrenia</w:t>
            </w:r>
          </w:p>
        </w:tc>
      </w:tr>
      <w:tr w:rsidR="00E535BA" w:rsidRPr="002F5D93" w:rsidTr="00327AFE">
        <w:tc>
          <w:tcPr>
            <w:tcW w:w="5000" w:type="pct"/>
            <w:gridSpan w:val="2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color w:val="FFFFFF" w:themeColor="background1"/>
                <w:sz w:val="22"/>
              </w:rPr>
            </w:pPr>
            <w:r w:rsidRPr="002F5D93">
              <w:rPr>
                <w:b/>
                <w:bCs/>
                <w:color w:val="FFFFFF" w:themeColor="background1"/>
                <w:sz w:val="22"/>
              </w:rPr>
              <w:t>PHSR BSK 2014-2020</w:t>
            </w:r>
          </w:p>
        </w:tc>
      </w:tr>
      <w:tr w:rsidR="00E535BA" w:rsidRPr="002F5D93" w:rsidTr="00327AFE">
        <w:tc>
          <w:tcPr>
            <w:tcW w:w="1371" w:type="pct"/>
            <w:shd w:val="clear" w:color="auto" w:fill="DBE5F1" w:themeFill="accent1" w:themeFillTint="33"/>
            <w:vAlign w:val="center"/>
          </w:tcPr>
          <w:p w:rsidR="00E535BA" w:rsidRPr="002F5D93" w:rsidRDefault="00E535BA" w:rsidP="00327AFE">
            <w:pPr>
              <w:pStyle w:val="Bezriadkovania"/>
              <w:jc w:val="left"/>
              <w:rPr>
                <w:rFonts w:cs="Arial"/>
                <w:sz w:val="22"/>
              </w:rPr>
            </w:pPr>
            <w:r w:rsidRPr="002F5D93">
              <w:rPr>
                <w:sz w:val="22"/>
              </w:rPr>
              <w:t>PHSR_O16.1</w:t>
            </w:r>
          </w:p>
        </w:tc>
        <w:tc>
          <w:tcPr>
            <w:tcW w:w="3629" w:type="pct"/>
            <w:shd w:val="clear" w:color="auto" w:fill="DBE5F1" w:themeFill="accent1" w:themeFillTint="33"/>
          </w:tcPr>
          <w:p w:rsidR="00E535BA" w:rsidRPr="002F5D93" w:rsidRDefault="00E535BA" w:rsidP="00327AFE">
            <w:pPr>
              <w:pStyle w:val="Bezriadkovania"/>
              <w:jc w:val="left"/>
              <w:rPr>
                <w:rFonts w:cs="Arial"/>
                <w:b/>
                <w:sz w:val="22"/>
              </w:rPr>
            </w:pPr>
            <w:r w:rsidRPr="002F5D93">
              <w:rPr>
                <w:rFonts w:cs="Arial"/>
                <w:b/>
                <w:sz w:val="22"/>
              </w:rPr>
              <w:t>Vytvorenie spoločného číselníka merateľných ukazovateľov pre Akčný plán BSK a Rozpočet BSK</w:t>
            </w:r>
          </w:p>
        </w:tc>
      </w:tr>
      <w:tr w:rsidR="00E535BA" w:rsidRPr="002F5D93" w:rsidTr="00327AFE">
        <w:tc>
          <w:tcPr>
            <w:tcW w:w="5000" w:type="pct"/>
            <w:gridSpan w:val="2"/>
            <w:shd w:val="clear" w:color="auto" w:fill="DBE5F1" w:themeFill="accent1" w:themeFillTint="33"/>
          </w:tcPr>
          <w:p w:rsidR="00E535BA" w:rsidRPr="002F5D93" w:rsidRDefault="00E535BA" w:rsidP="00327AFE">
            <w:pPr>
              <w:pStyle w:val="Bezriadkovania"/>
              <w:jc w:val="left"/>
              <w:rPr>
                <w:rFonts w:cs="Arial"/>
                <w:sz w:val="22"/>
              </w:rPr>
            </w:pPr>
            <w:r w:rsidRPr="002F5D93">
              <w:rPr>
                <w:rFonts w:cs="Arial"/>
                <w:sz w:val="22"/>
              </w:rPr>
              <w:t xml:space="preserve">Popis: </w:t>
            </w:r>
            <w:r>
              <w:rPr>
                <w:rFonts w:cs="Arial"/>
                <w:sz w:val="22"/>
              </w:rPr>
              <w:t xml:space="preserve">V súčasnosti sú PHSR BSK 2014-2020 realizovaný AP BSK 2014-2020 a Rozpočet Bratislavského samosprávneho kraja dokumenty, postavené na merateľných ukazovateľoch, ktoré navzájom nekorešpondujú a nedopĺňajú sa. Tento stav je možné zmeniť spoločným číselníkom merateľných ukazovateľov, ktorý prestavuje spoločnú databázu ukazovateľov pre oba programové dokumenty. Jednotlivé zložky úradu budú povinné aplikovať tieto ukazovatele v oboch dokumentoch tak, aby bolo možné efektívne plánovať a vyhodnocovať na úrovni rozpočtu a akčného plánu jednotlivé výdavky. </w:t>
            </w:r>
          </w:p>
        </w:tc>
      </w:tr>
      <w:tr w:rsidR="00E535BA" w:rsidRPr="002F5D93" w:rsidTr="00327AFE">
        <w:tc>
          <w:tcPr>
            <w:tcW w:w="1371" w:type="pct"/>
            <w:shd w:val="clear" w:color="auto" w:fill="DBE5F1" w:themeFill="accent1" w:themeFillTint="33"/>
            <w:vAlign w:val="center"/>
          </w:tcPr>
          <w:p w:rsidR="00E535BA" w:rsidRPr="002F5D93" w:rsidRDefault="00E535BA" w:rsidP="00327AFE">
            <w:pPr>
              <w:pStyle w:val="Bezriadkovania"/>
              <w:jc w:val="left"/>
              <w:rPr>
                <w:rFonts w:cs="Arial"/>
                <w:sz w:val="22"/>
              </w:rPr>
            </w:pPr>
            <w:r>
              <w:rPr>
                <w:sz w:val="22"/>
              </w:rPr>
              <w:t>PHSR_O16.2</w:t>
            </w:r>
          </w:p>
        </w:tc>
        <w:tc>
          <w:tcPr>
            <w:tcW w:w="3629" w:type="pct"/>
            <w:shd w:val="clear" w:color="auto" w:fill="DBE5F1" w:themeFill="accent1" w:themeFillTint="33"/>
          </w:tcPr>
          <w:p w:rsidR="00E535BA" w:rsidRPr="002F5D93" w:rsidRDefault="00B9729E" w:rsidP="00327AFE">
            <w:pPr>
              <w:pStyle w:val="Bezriadkovania"/>
              <w:jc w:val="left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Zosúladenie</w:t>
            </w:r>
            <w:r w:rsidR="00E535BA">
              <w:rPr>
                <w:rFonts w:cs="Arial"/>
                <w:b/>
                <w:sz w:val="22"/>
              </w:rPr>
              <w:t xml:space="preserve"> Všeobecného záväzného nariadenia </w:t>
            </w:r>
            <w:r>
              <w:rPr>
                <w:rFonts w:cs="Arial"/>
                <w:b/>
                <w:sz w:val="22"/>
              </w:rPr>
              <w:t xml:space="preserve">Bratislavského samosprávneho kraja č. 6/2012 </w:t>
            </w:r>
            <w:r w:rsidRPr="00B9729E">
              <w:rPr>
                <w:rFonts w:cs="Arial"/>
                <w:b/>
                <w:sz w:val="22"/>
              </w:rPr>
              <w:t>o poskytovaní dotácií z rozpočtu Bratislavského samosprávneho kraja</w:t>
            </w:r>
            <w:r>
              <w:rPr>
                <w:rFonts w:cs="Arial"/>
                <w:b/>
                <w:sz w:val="22"/>
              </w:rPr>
              <w:t xml:space="preserve"> </w:t>
            </w:r>
            <w:r w:rsidR="00E535BA">
              <w:rPr>
                <w:rFonts w:cs="Arial"/>
                <w:b/>
                <w:sz w:val="22"/>
              </w:rPr>
              <w:t>s Programom hospodárskeho rozvoja a sociálneho rozvoja Bratislavského samosprávneho kraja na roky 2014-2020</w:t>
            </w:r>
          </w:p>
        </w:tc>
      </w:tr>
      <w:tr w:rsidR="00E535BA" w:rsidRPr="002F5D93" w:rsidTr="00327AFE">
        <w:tc>
          <w:tcPr>
            <w:tcW w:w="5000" w:type="pct"/>
            <w:gridSpan w:val="2"/>
            <w:shd w:val="clear" w:color="auto" w:fill="DBE5F1" w:themeFill="accent1" w:themeFillTint="33"/>
          </w:tcPr>
          <w:p w:rsidR="00E535BA" w:rsidRPr="002F5D93" w:rsidRDefault="00E535BA" w:rsidP="00EA6CB3">
            <w:pPr>
              <w:pStyle w:val="Bezriadkovania"/>
              <w:rPr>
                <w:rFonts w:cs="Arial"/>
                <w:sz w:val="22"/>
              </w:rPr>
            </w:pPr>
            <w:r w:rsidRPr="002F5D93">
              <w:rPr>
                <w:rFonts w:cs="Arial"/>
                <w:sz w:val="22"/>
              </w:rPr>
              <w:t xml:space="preserve">Popis: </w:t>
            </w:r>
            <w:r w:rsidR="00B9729E">
              <w:rPr>
                <w:rFonts w:cs="Arial"/>
                <w:sz w:val="22"/>
              </w:rPr>
              <w:t xml:space="preserve">Vzhľadom na posilnenie významnosti Bratislavského samosprávneho kraja v oblasti podpory regionálneho rozvoja zavedením viacerých dotačných </w:t>
            </w:r>
            <w:r w:rsidR="00EA6CB3">
              <w:rPr>
                <w:rFonts w:cs="Arial"/>
                <w:sz w:val="22"/>
              </w:rPr>
              <w:t>schém fungujúcich</w:t>
            </w:r>
            <w:r w:rsidR="00B9729E">
              <w:rPr>
                <w:rFonts w:cs="Arial"/>
                <w:sz w:val="22"/>
              </w:rPr>
              <w:t xml:space="preserve"> v zmysle </w:t>
            </w:r>
            <w:r w:rsidR="00B9729E" w:rsidRPr="00B9729E">
              <w:rPr>
                <w:rFonts w:cs="Arial"/>
                <w:sz w:val="22"/>
              </w:rPr>
              <w:t>Všeobecného záväzného nariadenia Bratislavského samosprávneho kraja č. 6/2012 o poskytovaní dotácií z rozpočtu Bratislavského samosprávneho kraja</w:t>
            </w:r>
            <w:r w:rsidR="00B9729E">
              <w:rPr>
                <w:rFonts w:cs="Arial"/>
                <w:sz w:val="22"/>
              </w:rPr>
              <w:t xml:space="preserve"> dochádza k potrebe </w:t>
            </w:r>
            <w:r w:rsidR="00EA6CB3">
              <w:rPr>
                <w:rFonts w:cs="Arial"/>
                <w:sz w:val="22"/>
              </w:rPr>
              <w:t xml:space="preserve">hlbšej </w:t>
            </w:r>
            <w:r w:rsidR="00B9729E">
              <w:rPr>
                <w:rFonts w:cs="Arial"/>
                <w:sz w:val="22"/>
              </w:rPr>
              <w:t>koordinácie vynaložených finančných prostriedkov na podporu regionálneho rozvoja</w:t>
            </w:r>
            <w:r w:rsidR="00EA6CB3">
              <w:rPr>
                <w:rFonts w:cs="Arial"/>
                <w:sz w:val="22"/>
              </w:rPr>
              <w:t xml:space="preserve"> s PHSR BSK 2014-2020 a</w:t>
            </w:r>
            <w:r w:rsidR="00B9729E">
              <w:rPr>
                <w:rFonts w:cs="Arial"/>
                <w:sz w:val="22"/>
              </w:rPr>
              <w:t xml:space="preserve"> so Zákonom č. 539/2008 Z.</w:t>
            </w:r>
            <w:r w:rsidR="00EA6CB3">
              <w:rPr>
                <w:rFonts w:cs="Arial"/>
                <w:sz w:val="22"/>
              </w:rPr>
              <w:t xml:space="preserve"> </w:t>
            </w:r>
            <w:r w:rsidR="00B9729E">
              <w:rPr>
                <w:rFonts w:cs="Arial"/>
                <w:sz w:val="22"/>
              </w:rPr>
              <w:t>z. o podpore regionálneho rozvoja</w:t>
            </w:r>
            <w:r w:rsidR="00EA6CB3">
              <w:rPr>
                <w:rFonts w:cs="Arial"/>
                <w:sz w:val="22"/>
              </w:rPr>
              <w:t xml:space="preserve"> </w:t>
            </w:r>
            <w:r w:rsidR="00EA6CB3">
              <w:rPr>
                <w:b/>
                <w:bCs/>
              </w:rPr>
              <w:t xml:space="preserve"> </w:t>
            </w:r>
            <w:r w:rsidR="00EA6CB3" w:rsidRPr="00EA6CB3">
              <w:rPr>
                <w:rFonts w:cs="Arial"/>
                <w:sz w:val="22"/>
              </w:rPr>
              <w:t>v znení zákona č. 309/2014 Z. z</w:t>
            </w:r>
            <w:r w:rsidR="00EA6CB3">
              <w:rPr>
                <w:b/>
                <w:bCs/>
              </w:rPr>
              <w:t>.</w:t>
            </w:r>
            <w:r w:rsidR="00B9729E">
              <w:rPr>
                <w:rFonts w:cs="Arial"/>
                <w:sz w:val="22"/>
              </w:rPr>
              <w:t xml:space="preserve">, ktorý okrem iného </w:t>
            </w:r>
            <w:r w:rsidR="00B9729E">
              <w:t xml:space="preserve"> </w:t>
            </w:r>
            <w:r w:rsidR="00B9729E" w:rsidRPr="00B9729E">
              <w:rPr>
                <w:rFonts w:cs="Arial"/>
                <w:sz w:val="22"/>
              </w:rPr>
              <w:t>ustanovuje ciele a podmienky podpory regionálneho rozvoja, upravuje pôsobnosť orgánov štátnej správy, vyšších územných celkov, obcí a ďalších subjektov územnej spolupráce</w:t>
            </w:r>
            <w:r w:rsidR="00B9729E">
              <w:rPr>
                <w:rFonts w:cs="Arial"/>
                <w:sz w:val="22"/>
              </w:rPr>
              <w:t xml:space="preserve"> </w:t>
            </w:r>
            <w:r w:rsidR="00B9729E" w:rsidRPr="00B9729E">
              <w:rPr>
                <w:rFonts w:cs="Arial"/>
                <w:sz w:val="22"/>
              </w:rPr>
              <w:t>na koordináciu a realizáciu regionálneho rozvoja</w:t>
            </w:r>
            <w:r w:rsidR="00B9729E">
              <w:rPr>
                <w:rFonts w:cs="Arial"/>
                <w:sz w:val="22"/>
              </w:rPr>
              <w:t>.</w:t>
            </w:r>
          </w:p>
        </w:tc>
      </w:tr>
      <w:tr w:rsidR="00E535BA" w:rsidRPr="002F5D93" w:rsidTr="00327AFE">
        <w:tc>
          <w:tcPr>
            <w:tcW w:w="1371" w:type="pct"/>
            <w:shd w:val="clear" w:color="auto" w:fill="DBE5F1" w:themeFill="accent1" w:themeFillTint="33"/>
            <w:vAlign w:val="center"/>
          </w:tcPr>
          <w:p w:rsidR="00E535BA" w:rsidRPr="002F5D93" w:rsidRDefault="00E535BA" w:rsidP="00327AFE">
            <w:pPr>
              <w:pStyle w:val="Bezriadkovania"/>
              <w:jc w:val="left"/>
              <w:rPr>
                <w:rFonts w:cs="Arial"/>
                <w:sz w:val="22"/>
              </w:rPr>
            </w:pPr>
            <w:r>
              <w:rPr>
                <w:sz w:val="22"/>
              </w:rPr>
              <w:t>PHSR_O16.3</w:t>
            </w:r>
          </w:p>
        </w:tc>
        <w:tc>
          <w:tcPr>
            <w:tcW w:w="3629" w:type="pct"/>
            <w:shd w:val="clear" w:color="auto" w:fill="DBE5F1" w:themeFill="accent1" w:themeFillTint="33"/>
          </w:tcPr>
          <w:p w:rsidR="00E535BA" w:rsidRPr="002F5D93" w:rsidRDefault="00E535BA" w:rsidP="00B9729E">
            <w:pPr>
              <w:pStyle w:val="Bezriadkovania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P</w:t>
            </w:r>
            <w:r w:rsidR="006F3203">
              <w:rPr>
                <w:rFonts w:cs="Arial"/>
                <w:b/>
                <w:sz w:val="22"/>
              </w:rPr>
              <w:t xml:space="preserve">ilotné zavedenie elektronického spracovania </w:t>
            </w:r>
            <w:r w:rsidR="00B9729E">
              <w:rPr>
                <w:rFonts w:cs="Arial"/>
                <w:b/>
                <w:sz w:val="22"/>
              </w:rPr>
              <w:t>Správy o plnení</w:t>
            </w:r>
            <w:r w:rsidR="006F3203">
              <w:rPr>
                <w:rFonts w:cs="Arial"/>
                <w:b/>
                <w:sz w:val="22"/>
              </w:rPr>
              <w:t xml:space="preserve"> PHSR</w:t>
            </w:r>
            <w:r>
              <w:rPr>
                <w:rFonts w:cs="Arial"/>
                <w:b/>
                <w:sz w:val="22"/>
              </w:rPr>
              <w:t xml:space="preserve"> </w:t>
            </w:r>
            <w:r w:rsidR="00B9729E">
              <w:rPr>
                <w:rFonts w:cs="Arial"/>
                <w:b/>
                <w:sz w:val="22"/>
              </w:rPr>
              <w:t>mestami a obcami v Bratislavskom kraji</w:t>
            </w:r>
            <w:r w:rsidR="006F3203">
              <w:rPr>
                <w:rFonts w:cs="Arial"/>
                <w:b/>
                <w:sz w:val="22"/>
              </w:rPr>
              <w:t xml:space="preserve"> v zmysle </w:t>
            </w:r>
            <w:r w:rsidR="00B9729E">
              <w:t xml:space="preserve"> </w:t>
            </w:r>
            <w:r w:rsidR="00B9729E">
              <w:rPr>
                <w:rFonts w:cs="Arial"/>
                <w:b/>
                <w:sz w:val="22"/>
              </w:rPr>
              <w:t xml:space="preserve">§ 12, písmeno b) </w:t>
            </w:r>
            <w:r w:rsidR="006F3203">
              <w:rPr>
                <w:rFonts w:cs="Arial"/>
                <w:b/>
                <w:sz w:val="22"/>
              </w:rPr>
              <w:t>zákona č. 539/2008 Z.</w:t>
            </w:r>
            <w:r w:rsidR="00EA6CB3">
              <w:rPr>
                <w:rFonts w:cs="Arial"/>
                <w:b/>
                <w:sz w:val="22"/>
              </w:rPr>
              <w:t xml:space="preserve"> </w:t>
            </w:r>
            <w:r w:rsidR="006F3203">
              <w:rPr>
                <w:rFonts w:cs="Arial"/>
                <w:b/>
                <w:sz w:val="22"/>
              </w:rPr>
              <w:t>z. o podpore region</w:t>
            </w:r>
            <w:r w:rsidR="00B9729E">
              <w:rPr>
                <w:rFonts w:cs="Arial"/>
                <w:b/>
                <w:sz w:val="22"/>
              </w:rPr>
              <w:t>álneho rozvoja.</w:t>
            </w:r>
          </w:p>
        </w:tc>
      </w:tr>
      <w:tr w:rsidR="00E535BA" w:rsidRPr="002F5D93" w:rsidTr="00327AFE">
        <w:tc>
          <w:tcPr>
            <w:tcW w:w="5000" w:type="pct"/>
            <w:gridSpan w:val="2"/>
            <w:shd w:val="clear" w:color="auto" w:fill="DBE5F1" w:themeFill="accent1" w:themeFillTint="33"/>
          </w:tcPr>
          <w:p w:rsidR="004A0864" w:rsidRPr="004A0864" w:rsidRDefault="00E535BA" w:rsidP="004A0864">
            <w:pPr>
              <w:pStyle w:val="Bezriadkovania"/>
              <w:rPr>
                <w:rFonts w:cs="Arial"/>
                <w:sz w:val="22"/>
              </w:rPr>
            </w:pPr>
            <w:r w:rsidRPr="002F5D93">
              <w:rPr>
                <w:rFonts w:cs="Arial"/>
                <w:sz w:val="22"/>
              </w:rPr>
              <w:t xml:space="preserve">Popis: </w:t>
            </w:r>
            <w:r w:rsidR="00B9729E">
              <w:rPr>
                <w:rFonts w:cs="Arial"/>
                <w:sz w:val="22"/>
              </w:rPr>
              <w:t xml:space="preserve">Od 1.1.2015 platí </w:t>
            </w:r>
            <w:r w:rsidR="00EA6CB3">
              <w:rPr>
                <w:rFonts w:cs="Arial"/>
                <w:sz w:val="22"/>
              </w:rPr>
              <w:t xml:space="preserve"> Zákon č. 539/2008 Z. z. o podpore regionálneho rozvoja </w:t>
            </w:r>
            <w:r w:rsidR="00EA6CB3">
              <w:rPr>
                <w:b/>
                <w:bCs/>
              </w:rPr>
              <w:t xml:space="preserve"> </w:t>
            </w:r>
            <w:r w:rsidR="00EA6CB3" w:rsidRPr="00EA6CB3">
              <w:rPr>
                <w:rFonts w:cs="Arial"/>
                <w:sz w:val="22"/>
              </w:rPr>
              <w:t>v znení zákona č. 309/2014 Z. z</w:t>
            </w:r>
            <w:r w:rsidR="00EA6CB3">
              <w:rPr>
                <w:b/>
                <w:bCs/>
              </w:rPr>
              <w:t>.</w:t>
            </w:r>
            <w:r w:rsidR="00B9729E">
              <w:rPr>
                <w:rFonts w:cs="Arial"/>
                <w:sz w:val="22"/>
              </w:rPr>
              <w:t>, ktor</w:t>
            </w:r>
            <w:r w:rsidR="00EA6CB3">
              <w:rPr>
                <w:rFonts w:cs="Arial"/>
                <w:sz w:val="22"/>
              </w:rPr>
              <w:t>ý</w:t>
            </w:r>
            <w:r w:rsidR="00B9729E">
              <w:rPr>
                <w:rFonts w:cs="Arial"/>
                <w:sz w:val="22"/>
              </w:rPr>
              <w:t xml:space="preserve"> okrem iného </w:t>
            </w:r>
            <w:r w:rsidR="004A0864">
              <w:rPr>
                <w:rFonts w:cs="Arial"/>
                <w:sz w:val="22"/>
              </w:rPr>
              <w:t>uložil</w:t>
            </w:r>
            <w:r w:rsidR="00B9729E">
              <w:rPr>
                <w:rFonts w:cs="Arial"/>
                <w:sz w:val="22"/>
              </w:rPr>
              <w:t xml:space="preserve"> povinnosť obciam a mestám do 31.mája zasielať správu o</w:t>
            </w:r>
            <w:r w:rsidR="004A0864">
              <w:rPr>
                <w:rFonts w:cs="Arial"/>
                <w:sz w:val="22"/>
              </w:rPr>
              <w:t> plnení PHSR</w:t>
            </w:r>
            <w:r w:rsidR="00EA6CB3">
              <w:rPr>
                <w:rFonts w:cs="Arial"/>
                <w:sz w:val="22"/>
              </w:rPr>
              <w:t xml:space="preserve"> za predošlý rok</w:t>
            </w:r>
            <w:r w:rsidR="004A0864">
              <w:rPr>
                <w:rFonts w:cs="Arial"/>
                <w:sz w:val="22"/>
              </w:rPr>
              <w:t xml:space="preserve">. </w:t>
            </w:r>
            <w:r w:rsidR="004A0864" w:rsidRPr="004A0864">
              <w:rPr>
                <w:rFonts w:cs="Arial"/>
                <w:sz w:val="22"/>
              </w:rPr>
              <w:t xml:space="preserve"> </w:t>
            </w:r>
            <w:r w:rsidR="006059AE">
              <w:rPr>
                <w:rFonts w:cs="Arial"/>
                <w:sz w:val="22"/>
              </w:rPr>
              <w:t xml:space="preserve">V roku 2016 bude </w:t>
            </w:r>
            <w:r w:rsidR="00C86B5A">
              <w:rPr>
                <w:rFonts w:cs="Arial"/>
                <w:sz w:val="22"/>
              </w:rPr>
              <w:t>p</w:t>
            </w:r>
            <w:r w:rsidR="00C86B5A" w:rsidRPr="004A0864">
              <w:rPr>
                <w:rFonts w:cs="Arial"/>
                <w:sz w:val="22"/>
              </w:rPr>
              <w:t>ilotn</w:t>
            </w:r>
            <w:r w:rsidR="00C86B5A">
              <w:rPr>
                <w:rFonts w:cs="Arial"/>
                <w:sz w:val="22"/>
              </w:rPr>
              <w:t>é</w:t>
            </w:r>
            <w:r w:rsidR="004A0864" w:rsidRPr="004A0864">
              <w:rPr>
                <w:rFonts w:cs="Arial"/>
                <w:sz w:val="22"/>
              </w:rPr>
              <w:t xml:space="preserve"> zaveden</w:t>
            </w:r>
            <w:r w:rsidR="006059AE">
              <w:rPr>
                <w:rFonts w:cs="Arial"/>
                <w:sz w:val="22"/>
              </w:rPr>
              <w:t>ý</w:t>
            </w:r>
            <w:r w:rsidR="004A0864" w:rsidRPr="004A0864">
              <w:rPr>
                <w:rFonts w:cs="Arial"/>
                <w:sz w:val="22"/>
              </w:rPr>
              <w:t xml:space="preserve"> elektronick</w:t>
            </w:r>
            <w:r w:rsidR="006059AE">
              <w:rPr>
                <w:rFonts w:cs="Arial"/>
                <w:sz w:val="22"/>
              </w:rPr>
              <w:t>ý</w:t>
            </w:r>
            <w:r w:rsidR="004A0864" w:rsidRPr="004A0864">
              <w:rPr>
                <w:rFonts w:cs="Arial"/>
                <w:sz w:val="22"/>
              </w:rPr>
              <w:t xml:space="preserve"> zber projektov</w:t>
            </w:r>
            <w:r w:rsidR="006059AE">
              <w:rPr>
                <w:rFonts w:cs="Arial"/>
                <w:sz w:val="22"/>
              </w:rPr>
              <w:t xml:space="preserve"> miest a obcí</w:t>
            </w:r>
            <w:r w:rsidR="004A0864" w:rsidRPr="004A0864">
              <w:rPr>
                <w:rFonts w:cs="Arial"/>
                <w:sz w:val="22"/>
              </w:rPr>
              <w:t xml:space="preserve">, </w:t>
            </w:r>
            <w:r w:rsidR="006059AE">
              <w:rPr>
                <w:rFonts w:cs="Arial"/>
                <w:sz w:val="22"/>
              </w:rPr>
              <w:t xml:space="preserve">ktoré budú zverejnené </w:t>
            </w:r>
            <w:r w:rsidR="004A0864">
              <w:rPr>
                <w:rFonts w:cs="Arial"/>
                <w:sz w:val="22"/>
              </w:rPr>
              <w:t>na webovej stránke</w:t>
            </w:r>
            <w:r w:rsidR="004A0864" w:rsidRPr="004A0864">
              <w:rPr>
                <w:rFonts w:cs="Arial"/>
                <w:sz w:val="22"/>
              </w:rPr>
              <w:t>. Našou snahou je v prvom rade informovať verejnosť, odborníkov z regionálneho rozvoja, ale aj samotné mestá a obce o aktivitách a výsledkoch práce samosprávy, ktoré prispievajú k rozvoju Bratislavského kraja.</w:t>
            </w:r>
          </w:p>
          <w:p w:rsidR="00E535BA" w:rsidRPr="002F5D93" w:rsidRDefault="004A0864" w:rsidP="006059AE">
            <w:pPr>
              <w:pStyle w:val="Bezriadkovania"/>
              <w:rPr>
                <w:rFonts w:cs="Arial"/>
                <w:sz w:val="22"/>
              </w:rPr>
            </w:pPr>
            <w:r w:rsidRPr="004A0864">
              <w:rPr>
                <w:rFonts w:cs="Arial"/>
                <w:sz w:val="22"/>
              </w:rPr>
              <w:t>Okrem toho veríme, že portál nám pomôže posilniť význam monitorovania a hodnotenia zrealizovaných projektov v kraji a vytvorí podklad pre ďalšie rozhodovanie, našu spoluprácu s miestnou samosprávou a v konečnom dôsledku kontinuálne zlepšovanie a vytváranie nových projektov v Bratislavskom kraji</w:t>
            </w:r>
            <w:r w:rsidR="006059AE">
              <w:rPr>
                <w:rFonts w:cs="Arial"/>
                <w:sz w:val="22"/>
              </w:rPr>
              <w:t xml:space="preserve"> napĺňajúcich PHSR BSK 2014-2020</w:t>
            </w:r>
            <w:r w:rsidRPr="004A0864">
              <w:rPr>
                <w:rFonts w:cs="Arial"/>
                <w:sz w:val="22"/>
              </w:rPr>
              <w:t>.</w:t>
            </w:r>
          </w:p>
        </w:tc>
      </w:tr>
    </w:tbl>
    <w:p w:rsidR="00E535BA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535BA" w:rsidRPr="002F5D93" w:rsidRDefault="00E535BA" w:rsidP="00E535B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F5D93">
        <w:rPr>
          <w:rFonts w:ascii="Arial" w:hAnsi="Arial" w:cs="Arial"/>
          <w:b/>
          <w:sz w:val="22"/>
          <w:szCs w:val="22"/>
        </w:rPr>
        <w:t>Vyhodnotenie opatrení</w:t>
      </w:r>
      <w:r>
        <w:rPr>
          <w:rFonts w:ascii="Arial" w:hAnsi="Arial" w:cs="Arial"/>
          <w:b/>
          <w:sz w:val="22"/>
          <w:szCs w:val="22"/>
        </w:rPr>
        <w:t xml:space="preserve"> z</w:t>
      </w:r>
      <w:r w:rsidRPr="002F5D9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>vedených na</w:t>
      </w:r>
      <w:r w:rsidRPr="002F5D93">
        <w:rPr>
          <w:rFonts w:ascii="Arial" w:hAnsi="Arial" w:cs="Arial"/>
          <w:b/>
          <w:sz w:val="22"/>
          <w:szCs w:val="22"/>
        </w:rPr>
        <w:t xml:space="preserve"> rok 2015</w:t>
      </w:r>
    </w:p>
    <w:p w:rsidR="00E535BA" w:rsidRPr="002F5D93" w:rsidRDefault="00E535BA" w:rsidP="00E535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F5D93">
        <w:rPr>
          <w:rFonts w:ascii="Arial" w:hAnsi="Arial" w:cs="Arial"/>
          <w:sz w:val="22"/>
          <w:szCs w:val="22"/>
        </w:rPr>
        <w:t>(formát označovania: "prioritná os číslo-opatrenie za rok</w:t>
      </w:r>
      <w:r>
        <w:rPr>
          <w:rFonts w:ascii="Arial" w:hAnsi="Arial" w:cs="Arial"/>
          <w:sz w:val="22"/>
          <w:szCs w:val="22"/>
        </w:rPr>
        <w:t xml:space="preserve">, </w:t>
      </w:r>
      <w:r w:rsidRPr="002F5D93">
        <w:rPr>
          <w:rFonts w:ascii="Arial" w:hAnsi="Arial" w:cs="Arial"/>
          <w:sz w:val="22"/>
          <w:szCs w:val="22"/>
        </w:rPr>
        <w:t>poradie opatrenia"</w:t>
      </w:r>
      <w:r>
        <w:rPr>
          <w:rFonts w:ascii="Arial" w:hAnsi="Arial" w:cs="Arial"/>
          <w:sz w:val="22"/>
          <w:szCs w:val="22"/>
        </w:rPr>
        <w:t>)</w:t>
      </w:r>
    </w:p>
    <w:tbl>
      <w:tblPr>
        <w:tblStyle w:val="Mriekatabuky"/>
        <w:tblpPr w:leftFromText="180" w:rightFromText="180" w:vertAnchor="text" w:tblpY="1"/>
        <w:tblOverlap w:val="never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50"/>
        <w:gridCol w:w="5841"/>
        <w:gridCol w:w="1671"/>
      </w:tblGrid>
      <w:tr w:rsidR="00E535BA" w:rsidRPr="002F5D93" w:rsidTr="00327AFE">
        <w:tc>
          <w:tcPr>
            <w:tcW w:w="855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color w:val="FFFFFF" w:themeColor="background1"/>
                <w:sz w:val="22"/>
              </w:rPr>
            </w:pPr>
            <w:r w:rsidRPr="002F5D93">
              <w:rPr>
                <w:b/>
                <w:color w:val="FFFFFF" w:themeColor="background1"/>
                <w:sz w:val="22"/>
              </w:rPr>
              <w:t>Označenie</w:t>
            </w:r>
          </w:p>
        </w:tc>
        <w:tc>
          <w:tcPr>
            <w:tcW w:w="3223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color w:val="FFFFFF" w:themeColor="background1"/>
                <w:sz w:val="22"/>
              </w:rPr>
            </w:pPr>
            <w:r w:rsidRPr="002F5D93">
              <w:rPr>
                <w:b/>
                <w:color w:val="FFFFFF" w:themeColor="background1"/>
                <w:sz w:val="22"/>
              </w:rPr>
              <w:t>Všeobecné opatrenia</w:t>
            </w:r>
          </w:p>
        </w:tc>
        <w:tc>
          <w:tcPr>
            <w:tcW w:w="922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color w:val="FFFFFF" w:themeColor="background1"/>
                <w:sz w:val="22"/>
              </w:rPr>
            </w:pPr>
            <w:r w:rsidRPr="002F5D93">
              <w:rPr>
                <w:b/>
                <w:bCs/>
                <w:color w:val="FFFFFF" w:themeColor="background1"/>
                <w:sz w:val="22"/>
              </w:rPr>
              <w:t>Vyhodnotenie</w:t>
            </w:r>
          </w:p>
        </w:tc>
      </w:tr>
      <w:tr w:rsidR="00E535BA" w:rsidRPr="002F5D93" w:rsidTr="00327AFE">
        <w:tc>
          <w:tcPr>
            <w:tcW w:w="4078" w:type="pct"/>
            <w:gridSpan w:val="2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color w:val="FFFFFF" w:themeColor="background1"/>
                <w:sz w:val="22"/>
              </w:rPr>
            </w:pPr>
            <w:r w:rsidRPr="002F5D93">
              <w:rPr>
                <w:b/>
                <w:bCs/>
                <w:color w:val="FFFFFF" w:themeColor="background1"/>
                <w:sz w:val="22"/>
              </w:rPr>
              <w:lastRenderedPageBreak/>
              <w:t>PHSR BSK 2014-2020</w:t>
            </w:r>
          </w:p>
        </w:tc>
        <w:tc>
          <w:tcPr>
            <w:tcW w:w="922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bCs/>
                <w:color w:val="FFFFFF" w:themeColor="background1"/>
                <w:sz w:val="22"/>
              </w:rPr>
            </w:pPr>
          </w:p>
        </w:tc>
      </w:tr>
      <w:tr w:rsidR="00E535BA" w:rsidRPr="002F5D93" w:rsidTr="00327AFE">
        <w:tc>
          <w:tcPr>
            <w:tcW w:w="855" w:type="pct"/>
            <w:shd w:val="clear" w:color="auto" w:fill="F2F2F2" w:themeFill="background1" w:themeFillShade="F2"/>
            <w:vAlign w:val="center"/>
          </w:tcPr>
          <w:p w:rsidR="00E535BA" w:rsidRPr="002F5D93" w:rsidRDefault="00E535BA" w:rsidP="00327AFE">
            <w:pPr>
              <w:pStyle w:val="Bezriadkovania"/>
              <w:jc w:val="left"/>
              <w:rPr>
                <w:rFonts w:cs="Arial"/>
                <w:sz w:val="22"/>
              </w:rPr>
            </w:pPr>
            <w:r w:rsidRPr="002F5D93">
              <w:rPr>
                <w:sz w:val="22"/>
              </w:rPr>
              <w:t>PHSR_O15.1</w:t>
            </w:r>
          </w:p>
        </w:tc>
        <w:tc>
          <w:tcPr>
            <w:tcW w:w="3223" w:type="pct"/>
          </w:tcPr>
          <w:p w:rsidR="00E535BA" w:rsidRPr="002F5D93" w:rsidRDefault="00E535BA" w:rsidP="00327AFE">
            <w:pPr>
              <w:pStyle w:val="Bezriadkovania"/>
              <w:jc w:val="left"/>
              <w:rPr>
                <w:rFonts w:cs="Arial"/>
                <w:b/>
                <w:sz w:val="22"/>
              </w:rPr>
            </w:pPr>
            <w:r w:rsidRPr="002F5D93">
              <w:rPr>
                <w:rFonts w:cs="Arial"/>
                <w:b/>
                <w:color w:val="000000" w:themeColor="text1"/>
                <w:sz w:val="22"/>
              </w:rPr>
              <w:t>Optimalizácia merateľných ukazovateľov a uvedenie do súladu s dostupnou štatistikou</w:t>
            </w:r>
          </w:p>
        </w:tc>
        <w:tc>
          <w:tcPr>
            <w:tcW w:w="922" w:type="pct"/>
            <w:vAlign w:val="center"/>
          </w:tcPr>
          <w:p w:rsidR="00E535BA" w:rsidRPr="002F5D93" w:rsidRDefault="00E535BA" w:rsidP="00327AFE">
            <w:pPr>
              <w:pStyle w:val="Bezriadkovania"/>
              <w:jc w:val="center"/>
              <w:rPr>
                <w:rFonts w:cs="Arial"/>
                <w:b/>
                <w:color w:val="000000" w:themeColor="text1"/>
                <w:sz w:val="22"/>
              </w:rPr>
            </w:pPr>
            <w:r w:rsidRPr="002F5D93">
              <w:rPr>
                <w:rFonts w:cs="Arial"/>
                <w:b/>
                <w:color w:val="000000" w:themeColor="text1"/>
                <w:sz w:val="22"/>
              </w:rPr>
              <w:t>splnené</w:t>
            </w:r>
          </w:p>
        </w:tc>
      </w:tr>
      <w:tr w:rsidR="00E535BA" w:rsidRPr="002F5D93" w:rsidTr="00327AFE">
        <w:trPr>
          <w:trHeight w:val="276"/>
        </w:trPr>
        <w:tc>
          <w:tcPr>
            <w:tcW w:w="855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sz w:val="22"/>
              </w:rPr>
            </w:pPr>
            <w:r w:rsidRPr="002F5D93">
              <w:rPr>
                <w:b/>
                <w:color w:val="FFFFFF" w:themeColor="background1"/>
                <w:sz w:val="22"/>
              </w:rPr>
              <w:t>Označenie</w:t>
            </w:r>
          </w:p>
        </w:tc>
        <w:tc>
          <w:tcPr>
            <w:tcW w:w="3223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sz w:val="22"/>
              </w:rPr>
            </w:pPr>
            <w:r w:rsidRPr="002F5D93">
              <w:rPr>
                <w:b/>
                <w:color w:val="FFFFFF" w:themeColor="background1"/>
                <w:sz w:val="22"/>
              </w:rPr>
              <w:t>Špecifické opatrenia</w:t>
            </w:r>
          </w:p>
        </w:tc>
        <w:tc>
          <w:tcPr>
            <w:tcW w:w="922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color w:val="FFFFFF" w:themeColor="background1"/>
                <w:sz w:val="22"/>
              </w:rPr>
            </w:pPr>
          </w:p>
        </w:tc>
      </w:tr>
      <w:tr w:rsidR="00E535BA" w:rsidRPr="002F5D93" w:rsidTr="00327AFE">
        <w:trPr>
          <w:trHeight w:val="276"/>
        </w:trPr>
        <w:tc>
          <w:tcPr>
            <w:tcW w:w="4078" w:type="pct"/>
            <w:gridSpan w:val="2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color w:val="FFFFFF" w:themeColor="background1"/>
                <w:sz w:val="22"/>
              </w:rPr>
            </w:pPr>
            <w:r w:rsidRPr="002F5D93">
              <w:rPr>
                <w:b/>
                <w:bCs/>
                <w:color w:val="FFFFFF" w:themeColor="background1"/>
                <w:sz w:val="22"/>
              </w:rPr>
              <w:t>PO</w:t>
            </w:r>
            <w:r w:rsidRPr="002F5D93">
              <w:rPr>
                <w:color w:val="FFFFFF" w:themeColor="background1"/>
                <w:sz w:val="22"/>
              </w:rPr>
              <w:t xml:space="preserve">1: </w:t>
            </w:r>
            <w:r w:rsidRPr="002F5D93">
              <w:rPr>
                <w:b/>
                <w:bCs/>
                <w:color w:val="FFFFFF" w:themeColor="background1"/>
                <w:sz w:val="22"/>
              </w:rPr>
              <w:t>Veda, výskum a inovácie</w:t>
            </w:r>
          </w:p>
        </w:tc>
        <w:tc>
          <w:tcPr>
            <w:tcW w:w="922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bCs/>
                <w:color w:val="FFFFFF" w:themeColor="background1"/>
                <w:sz w:val="22"/>
              </w:rPr>
            </w:pPr>
          </w:p>
        </w:tc>
      </w:tr>
      <w:tr w:rsidR="00E535BA" w:rsidRPr="002F5D93" w:rsidTr="00327AFE">
        <w:trPr>
          <w:trHeight w:val="558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:rsidR="00E535BA" w:rsidRPr="002F5D93" w:rsidRDefault="00E535BA" w:rsidP="00327AFE">
            <w:pPr>
              <w:pStyle w:val="Bezriadkovania"/>
              <w:jc w:val="left"/>
              <w:rPr>
                <w:sz w:val="22"/>
              </w:rPr>
            </w:pPr>
            <w:r w:rsidRPr="002F5D93">
              <w:rPr>
                <w:rFonts w:cs="Arial"/>
                <w:sz w:val="22"/>
              </w:rPr>
              <w:t>PO1-O15.2</w:t>
            </w:r>
          </w:p>
        </w:tc>
        <w:tc>
          <w:tcPr>
            <w:tcW w:w="3223" w:type="pct"/>
          </w:tcPr>
          <w:p w:rsidR="00E535BA" w:rsidRPr="002F5D93" w:rsidRDefault="00E535BA" w:rsidP="00327AFE">
            <w:pPr>
              <w:pStyle w:val="Bezriadkovania"/>
              <w:jc w:val="left"/>
              <w:rPr>
                <w:color w:val="000000" w:themeColor="text1"/>
                <w:sz w:val="22"/>
              </w:rPr>
            </w:pPr>
            <w:r w:rsidRPr="002F5D93">
              <w:rPr>
                <w:rFonts w:cs="Arial"/>
                <w:b/>
                <w:sz w:val="22"/>
              </w:rPr>
              <w:t>Iniciovanie vzniku Rady pre implementáciu inovačnej stratégie</w:t>
            </w:r>
          </w:p>
        </w:tc>
        <w:tc>
          <w:tcPr>
            <w:tcW w:w="922" w:type="pct"/>
            <w:vAlign w:val="center"/>
          </w:tcPr>
          <w:p w:rsidR="00E535BA" w:rsidRPr="002F5D93" w:rsidRDefault="00E535BA" w:rsidP="00327AFE">
            <w:pPr>
              <w:pStyle w:val="Bezriadkovania"/>
              <w:jc w:val="center"/>
              <w:rPr>
                <w:rFonts w:cs="Arial"/>
                <w:b/>
                <w:sz w:val="22"/>
              </w:rPr>
            </w:pPr>
            <w:r w:rsidRPr="002F5D93">
              <w:rPr>
                <w:rFonts w:cs="Arial"/>
                <w:b/>
                <w:sz w:val="22"/>
              </w:rPr>
              <w:t>splnené</w:t>
            </w:r>
          </w:p>
        </w:tc>
      </w:tr>
      <w:tr w:rsidR="00E535BA" w:rsidRPr="002F5D93" w:rsidTr="00327AFE">
        <w:trPr>
          <w:trHeight w:val="260"/>
        </w:trPr>
        <w:tc>
          <w:tcPr>
            <w:tcW w:w="4078" w:type="pct"/>
            <w:gridSpan w:val="2"/>
            <w:shd w:val="clear" w:color="auto" w:fill="1F497D" w:themeFill="text2"/>
            <w:vAlign w:val="center"/>
          </w:tcPr>
          <w:p w:rsidR="00E535BA" w:rsidRPr="002F5D93" w:rsidRDefault="00E535BA" w:rsidP="00327AFE">
            <w:pPr>
              <w:pStyle w:val="Bezriadkovania"/>
              <w:rPr>
                <w:sz w:val="22"/>
              </w:rPr>
            </w:pPr>
            <w:r w:rsidRPr="002F5D93">
              <w:rPr>
                <w:b/>
                <w:bCs/>
                <w:color w:val="FFFFFF" w:themeColor="background1"/>
                <w:sz w:val="22"/>
              </w:rPr>
              <w:t>PO4: Konkurencieschopnosť, rast a podnikateľské prostredie</w:t>
            </w:r>
          </w:p>
        </w:tc>
        <w:tc>
          <w:tcPr>
            <w:tcW w:w="922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rPr>
                <w:b/>
                <w:bCs/>
                <w:color w:val="FFFFFF" w:themeColor="background1"/>
                <w:sz w:val="22"/>
              </w:rPr>
            </w:pPr>
          </w:p>
        </w:tc>
      </w:tr>
      <w:tr w:rsidR="00E535BA" w:rsidRPr="002F5D93" w:rsidTr="00327AFE">
        <w:tc>
          <w:tcPr>
            <w:tcW w:w="855" w:type="pct"/>
            <w:shd w:val="clear" w:color="auto" w:fill="F2F2F2" w:themeFill="background1" w:themeFillShade="F2"/>
            <w:vAlign w:val="center"/>
          </w:tcPr>
          <w:p w:rsidR="00E535BA" w:rsidRPr="002F5D93" w:rsidRDefault="00E535BA" w:rsidP="00327AFE">
            <w:pPr>
              <w:pStyle w:val="Bezriadkovania"/>
              <w:jc w:val="left"/>
              <w:rPr>
                <w:sz w:val="22"/>
              </w:rPr>
            </w:pPr>
            <w:r w:rsidRPr="002F5D93">
              <w:rPr>
                <w:sz w:val="22"/>
              </w:rPr>
              <w:t>PO4-O15.3</w:t>
            </w:r>
          </w:p>
        </w:tc>
        <w:tc>
          <w:tcPr>
            <w:tcW w:w="3223" w:type="pct"/>
            <w:vAlign w:val="center"/>
          </w:tcPr>
          <w:p w:rsidR="00E535BA" w:rsidRPr="002F5D93" w:rsidRDefault="00E535BA" w:rsidP="00327AFE">
            <w:pPr>
              <w:pStyle w:val="Bezriadkovania"/>
              <w:jc w:val="left"/>
              <w:rPr>
                <w:b/>
                <w:sz w:val="22"/>
              </w:rPr>
            </w:pPr>
            <w:r w:rsidRPr="002F5D93">
              <w:rPr>
                <w:rFonts w:cs="Arial"/>
                <w:b/>
                <w:color w:val="000000" w:themeColor="text1"/>
                <w:sz w:val="22"/>
              </w:rPr>
              <w:t>Podpora občianskych združení založených miestnou samosprávou a partnermi v získaní štatútu Miestnej akčnej skupiny</w:t>
            </w:r>
          </w:p>
        </w:tc>
        <w:tc>
          <w:tcPr>
            <w:tcW w:w="922" w:type="pct"/>
            <w:vAlign w:val="center"/>
          </w:tcPr>
          <w:p w:rsidR="00E535BA" w:rsidRPr="002F5D93" w:rsidRDefault="00E535BA" w:rsidP="00327AFE">
            <w:pPr>
              <w:pStyle w:val="Bezriadkovania"/>
              <w:jc w:val="center"/>
              <w:rPr>
                <w:rFonts w:cs="Arial"/>
                <w:b/>
                <w:color w:val="000000" w:themeColor="text1"/>
                <w:sz w:val="22"/>
              </w:rPr>
            </w:pPr>
            <w:r w:rsidRPr="002F5D93">
              <w:rPr>
                <w:rFonts w:cs="Arial"/>
                <w:b/>
                <w:color w:val="000000" w:themeColor="text1"/>
                <w:sz w:val="22"/>
              </w:rPr>
              <w:t>splnené</w:t>
            </w:r>
          </w:p>
        </w:tc>
      </w:tr>
      <w:tr w:rsidR="00E535BA" w:rsidRPr="002F5D93" w:rsidTr="00327AFE">
        <w:tc>
          <w:tcPr>
            <w:tcW w:w="4078" w:type="pct"/>
            <w:gridSpan w:val="2"/>
            <w:shd w:val="clear" w:color="auto" w:fill="1F497D" w:themeFill="text2"/>
            <w:vAlign w:val="center"/>
          </w:tcPr>
          <w:p w:rsidR="00E535BA" w:rsidRPr="002F5D93" w:rsidRDefault="00E535BA" w:rsidP="00327AFE">
            <w:pPr>
              <w:pStyle w:val="Bezriadkovania"/>
              <w:jc w:val="left"/>
              <w:rPr>
                <w:sz w:val="22"/>
                <w:szCs w:val="24"/>
              </w:rPr>
            </w:pPr>
            <w:r w:rsidRPr="002F5D93">
              <w:rPr>
                <w:b/>
                <w:bCs/>
                <w:color w:val="FFFFFF" w:themeColor="background1"/>
                <w:sz w:val="22"/>
              </w:rPr>
              <w:t>PO5: Životné prostredie, zmeny klímy a obnoviteľné zdroje energie</w:t>
            </w:r>
          </w:p>
        </w:tc>
        <w:tc>
          <w:tcPr>
            <w:tcW w:w="922" w:type="pct"/>
            <w:shd w:val="clear" w:color="auto" w:fill="1F497D" w:themeFill="text2"/>
          </w:tcPr>
          <w:p w:rsidR="00E535BA" w:rsidRPr="002F5D93" w:rsidRDefault="00E535BA" w:rsidP="00327AFE">
            <w:pPr>
              <w:pStyle w:val="Bezriadkovania"/>
              <w:jc w:val="left"/>
              <w:rPr>
                <w:b/>
                <w:bCs/>
                <w:color w:val="FFFFFF" w:themeColor="background1"/>
                <w:sz w:val="22"/>
              </w:rPr>
            </w:pPr>
          </w:p>
        </w:tc>
      </w:tr>
      <w:tr w:rsidR="00E535BA" w:rsidRPr="002F5D93" w:rsidTr="00327AFE">
        <w:tc>
          <w:tcPr>
            <w:tcW w:w="855" w:type="pct"/>
            <w:shd w:val="clear" w:color="auto" w:fill="F2F2F2" w:themeFill="background1" w:themeFillShade="F2"/>
            <w:vAlign w:val="center"/>
          </w:tcPr>
          <w:p w:rsidR="00E535BA" w:rsidRPr="002F5D93" w:rsidRDefault="00E535BA" w:rsidP="00327AFE">
            <w:pPr>
              <w:pStyle w:val="Bezriadkovania"/>
              <w:jc w:val="left"/>
              <w:rPr>
                <w:b/>
                <w:bCs/>
                <w:color w:val="FFFFFF" w:themeColor="background1"/>
                <w:sz w:val="22"/>
              </w:rPr>
            </w:pPr>
            <w:r w:rsidRPr="002F5D93">
              <w:rPr>
                <w:sz w:val="22"/>
              </w:rPr>
              <w:t>PO5-O15.4</w:t>
            </w:r>
          </w:p>
        </w:tc>
        <w:tc>
          <w:tcPr>
            <w:tcW w:w="3223" w:type="pct"/>
            <w:shd w:val="clear" w:color="auto" w:fill="FFFFFF" w:themeFill="background1"/>
            <w:vAlign w:val="center"/>
          </w:tcPr>
          <w:p w:rsidR="00E535BA" w:rsidRPr="002F5D93" w:rsidRDefault="00E535BA" w:rsidP="00327AFE">
            <w:pPr>
              <w:pStyle w:val="Bezriadkovania"/>
              <w:jc w:val="left"/>
              <w:rPr>
                <w:b/>
                <w:bCs/>
                <w:color w:val="FFFFFF" w:themeColor="background1"/>
                <w:sz w:val="22"/>
              </w:rPr>
            </w:pPr>
            <w:r w:rsidRPr="002F5D93">
              <w:rPr>
                <w:b/>
                <w:sz w:val="22"/>
              </w:rPr>
              <w:t>Aktualizácia, respektíve vytvorenie nového Plánu dopravnej obsluhy</w:t>
            </w:r>
          </w:p>
        </w:tc>
        <w:tc>
          <w:tcPr>
            <w:tcW w:w="922" w:type="pct"/>
            <w:shd w:val="clear" w:color="auto" w:fill="FFFFFF" w:themeFill="background1"/>
          </w:tcPr>
          <w:p w:rsidR="00E535BA" w:rsidRPr="002F5D93" w:rsidRDefault="00E535BA" w:rsidP="00327AFE">
            <w:pPr>
              <w:pStyle w:val="Bezriadkovania"/>
              <w:jc w:val="center"/>
              <w:rPr>
                <w:b/>
                <w:sz w:val="22"/>
              </w:rPr>
            </w:pPr>
            <w:r w:rsidRPr="002F5D93">
              <w:rPr>
                <w:b/>
                <w:sz w:val="22"/>
              </w:rPr>
              <w:t>priebežne plnené</w:t>
            </w:r>
          </w:p>
        </w:tc>
      </w:tr>
    </w:tbl>
    <w:p w:rsidR="00E535BA" w:rsidRDefault="00E535BA" w:rsidP="00E535BA">
      <w:pPr>
        <w:pStyle w:val="Bezriadkovania"/>
        <w:rPr>
          <w:b/>
          <w:sz w:val="24"/>
          <w:szCs w:val="24"/>
        </w:rPr>
      </w:pPr>
    </w:p>
    <w:p w:rsidR="00E535BA" w:rsidRDefault="00E535BA" w:rsidP="00E535BA">
      <w:pPr>
        <w:pStyle w:val="Bezriadkovania"/>
        <w:rPr>
          <w:b/>
          <w:sz w:val="24"/>
          <w:szCs w:val="24"/>
        </w:rPr>
      </w:pPr>
      <w:r>
        <w:rPr>
          <w:b/>
          <w:sz w:val="24"/>
          <w:szCs w:val="24"/>
        </w:rPr>
        <w:t>Záver</w:t>
      </w:r>
    </w:p>
    <w:p w:rsidR="00E535BA" w:rsidRDefault="00E535BA" w:rsidP="00E535BA">
      <w:pPr>
        <w:pStyle w:val="Bezriadkovania"/>
        <w:rPr>
          <w:b/>
          <w:sz w:val="24"/>
          <w:szCs w:val="24"/>
        </w:rPr>
      </w:pPr>
    </w:p>
    <w:p w:rsidR="00E535BA" w:rsidRPr="00A40B2C" w:rsidRDefault="00E535BA" w:rsidP="00E535BA">
      <w:pPr>
        <w:pStyle w:val="Bezriadkovania"/>
        <w:rPr>
          <w:sz w:val="22"/>
          <w:szCs w:val="24"/>
        </w:rPr>
      </w:pPr>
      <w:r w:rsidRPr="00A40B2C">
        <w:rPr>
          <w:sz w:val="22"/>
          <w:szCs w:val="24"/>
        </w:rPr>
        <w:t xml:space="preserve">Správa z hodnotenia PHSR BSK 2014-2020 za rok 2015 predstavuje širokospektrálny monitorovací nástroj, ktorý analyzoval trendy vplývajúce na napĺňanie cieľov PHSR BSK 2014-2020, vývoj sledovaných merateľných ukazovateľov, a zostavil opatrenia, ktoré vplývajú na napĺňanie cieľov PHSR BSK 2014-2020, predstavil stav projektov definovaných Akčným plánom BSK a definoval spätnú väzbu pre samotný program PHSR BSK 2014-2020. </w:t>
      </w:r>
    </w:p>
    <w:p w:rsidR="00E535BA" w:rsidRPr="00A40B2C" w:rsidRDefault="00E535BA" w:rsidP="00E535BA">
      <w:pPr>
        <w:pStyle w:val="Bezriadkovania"/>
        <w:rPr>
          <w:sz w:val="22"/>
          <w:szCs w:val="24"/>
        </w:rPr>
      </w:pPr>
    </w:p>
    <w:p w:rsidR="00E535BA" w:rsidRPr="00A40B2C" w:rsidRDefault="00E535BA" w:rsidP="00E535BA">
      <w:pPr>
        <w:pStyle w:val="Bezriadkovania"/>
        <w:rPr>
          <w:sz w:val="22"/>
          <w:szCs w:val="24"/>
        </w:rPr>
      </w:pPr>
      <w:r w:rsidRPr="00A40B2C">
        <w:rPr>
          <w:sz w:val="22"/>
          <w:szCs w:val="24"/>
        </w:rPr>
        <w:t>Vzhľadom na to, že systém monitorovania a hodnotenia je dôležitým prvkom v procese implementácie dokumentu naviazaného na finančné zdroje určené na rozvoj, aj ďalšie Správy z hodnotenia PHSR BSK 2014-2020 budú v prvom rade upozorňovať na nedostatočné plnenie a zavádzať opatrenia za účelom dosiahnutia pokroku plnenia.</w:t>
      </w:r>
    </w:p>
    <w:p w:rsidR="00E535BA" w:rsidRPr="00A40B2C" w:rsidRDefault="00E535BA" w:rsidP="00E535BA">
      <w:pPr>
        <w:jc w:val="both"/>
        <w:rPr>
          <w:rFonts w:ascii="Arial" w:hAnsi="Arial" w:cs="Arial"/>
          <w:b/>
          <w:sz w:val="20"/>
          <w:szCs w:val="22"/>
        </w:rPr>
      </w:pPr>
    </w:p>
    <w:p w:rsidR="00E535BA" w:rsidRPr="00115DDE" w:rsidRDefault="00E535BA" w:rsidP="00E535BA">
      <w:pPr>
        <w:jc w:val="both"/>
        <w:rPr>
          <w:rFonts w:ascii="Arial" w:hAnsi="Arial" w:cs="Arial"/>
          <w:sz w:val="22"/>
          <w:szCs w:val="22"/>
        </w:rPr>
      </w:pPr>
      <w:r w:rsidRPr="00F16247">
        <w:rPr>
          <w:rFonts w:ascii="Arial" w:hAnsi="Arial" w:cs="Arial"/>
          <w:b/>
          <w:sz w:val="22"/>
          <w:szCs w:val="22"/>
        </w:rPr>
        <w:t>Príloh</w:t>
      </w:r>
      <w:r>
        <w:rPr>
          <w:rFonts w:ascii="Arial" w:hAnsi="Arial" w:cs="Arial"/>
          <w:b/>
          <w:sz w:val="22"/>
          <w:szCs w:val="22"/>
        </w:rPr>
        <w:t>a č. 1</w:t>
      </w:r>
      <w:r w:rsidRPr="00F16247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Správa z hodnotenia PHSR BSK 2014-2020 za rok 2015 - </w:t>
      </w:r>
      <w:r w:rsidRPr="00AD1E37">
        <w:rPr>
          <w:rFonts w:ascii="Arial" w:hAnsi="Arial" w:cs="Arial"/>
          <w:b/>
          <w:sz w:val="22"/>
          <w:szCs w:val="22"/>
        </w:rPr>
        <w:t>CD</w:t>
      </w:r>
    </w:p>
    <w:p w:rsidR="00E535BA" w:rsidRPr="00AB1F4E" w:rsidRDefault="00E535BA" w:rsidP="00E535BA"/>
    <w:p w:rsidR="00115DDE" w:rsidRDefault="00115DDE" w:rsidP="00E535BA">
      <w:pPr>
        <w:jc w:val="center"/>
      </w:pPr>
    </w:p>
    <w:sectPr w:rsidR="00115DDE" w:rsidSect="00743150">
      <w:pgSz w:w="11906" w:h="16838"/>
      <w:pgMar w:top="1417" w:right="1417" w:bottom="993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6D" w:rsidRDefault="000E6D6D">
      <w:r>
        <w:separator/>
      </w:r>
    </w:p>
  </w:endnote>
  <w:endnote w:type="continuationSeparator" w:id="0">
    <w:p w:rsidR="000E6D6D" w:rsidRDefault="000E6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557513"/>
      <w:docPartObj>
        <w:docPartGallery w:val="Page Numbers (Bottom of Page)"/>
        <w:docPartUnique/>
      </w:docPartObj>
    </w:sdtPr>
    <w:sdtEndPr/>
    <w:sdtContent>
      <w:p w:rsidR="00743150" w:rsidRDefault="0074315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56D">
          <w:rPr>
            <w:noProof/>
          </w:rPr>
          <w:t>10</w:t>
        </w:r>
        <w:r>
          <w:fldChar w:fldCharType="end"/>
        </w:r>
      </w:p>
    </w:sdtContent>
  </w:sdt>
  <w:p w:rsidR="00E535BA" w:rsidRDefault="00E535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6D" w:rsidRDefault="000E6D6D">
      <w:r>
        <w:separator/>
      </w:r>
    </w:p>
  </w:footnote>
  <w:footnote w:type="continuationSeparator" w:id="0">
    <w:p w:rsidR="000E6D6D" w:rsidRDefault="000E6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5A2E"/>
    <w:multiLevelType w:val="hybridMultilevel"/>
    <w:tmpl w:val="A3DCDD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06725"/>
    <w:multiLevelType w:val="hybridMultilevel"/>
    <w:tmpl w:val="7A8228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6B372E"/>
    <w:multiLevelType w:val="hybridMultilevel"/>
    <w:tmpl w:val="42C032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C1390"/>
    <w:multiLevelType w:val="hybridMultilevel"/>
    <w:tmpl w:val="527E3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32CFF"/>
    <w:multiLevelType w:val="hybridMultilevel"/>
    <w:tmpl w:val="0B3EA3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612A4"/>
    <w:multiLevelType w:val="hybridMultilevel"/>
    <w:tmpl w:val="024C94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FA31DA"/>
    <w:multiLevelType w:val="hybridMultilevel"/>
    <w:tmpl w:val="5156D9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83292D"/>
    <w:multiLevelType w:val="hybridMultilevel"/>
    <w:tmpl w:val="ACB8A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A3630"/>
    <w:multiLevelType w:val="hybridMultilevel"/>
    <w:tmpl w:val="93D00C0C"/>
    <w:lvl w:ilvl="0" w:tplc="7862C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E5BCF"/>
    <w:multiLevelType w:val="hybridMultilevel"/>
    <w:tmpl w:val="9DB494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13BA2"/>
    <w:multiLevelType w:val="hybridMultilevel"/>
    <w:tmpl w:val="DEE0E6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B5E66"/>
    <w:multiLevelType w:val="hybridMultilevel"/>
    <w:tmpl w:val="86224E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586079"/>
    <w:multiLevelType w:val="hybridMultilevel"/>
    <w:tmpl w:val="7FDC8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CF7C19"/>
    <w:multiLevelType w:val="hybridMultilevel"/>
    <w:tmpl w:val="4BD6C31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4325FD"/>
    <w:multiLevelType w:val="hybridMultilevel"/>
    <w:tmpl w:val="A9E8D99C"/>
    <w:lvl w:ilvl="0" w:tplc="DD0A7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C7346"/>
    <w:multiLevelType w:val="hybridMultilevel"/>
    <w:tmpl w:val="DDDE1F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B3513A"/>
    <w:multiLevelType w:val="hybridMultilevel"/>
    <w:tmpl w:val="C250E7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1"/>
  </w:num>
  <w:num w:numId="5">
    <w:abstractNumId w:val="15"/>
  </w:num>
  <w:num w:numId="6">
    <w:abstractNumId w:val="13"/>
  </w:num>
  <w:num w:numId="7">
    <w:abstractNumId w:val="12"/>
  </w:num>
  <w:num w:numId="8">
    <w:abstractNumId w:val="8"/>
  </w:num>
  <w:num w:numId="9">
    <w:abstractNumId w:val="14"/>
  </w:num>
  <w:num w:numId="10">
    <w:abstractNumId w:val="9"/>
  </w:num>
  <w:num w:numId="11">
    <w:abstractNumId w:val="1"/>
  </w:num>
  <w:num w:numId="12">
    <w:abstractNumId w:val="10"/>
  </w:num>
  <w:num w:numId="13">
    <w:abstractNumId w:val="0"/>
  </w:num>
  <w:num w:numId="14">
    <w:abstractNumId w:val="16"/>
  </w:num>
  <w:num w:numId="15">
    <w:abstractNumId w:val="4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C7B"/>
    <w:rsid w:val="00024732"/>
    <w:rsid w:val="00061190"/>
    <w:rsid w:val="00067B16"/>
    <w:rsid w:val="000952DF"/>
    <w:rsid w:val="00097B4A"/>
    <w:rsid w:val="000A24FC"/>
    <w:rsid w:val="000D0885"/>
    <w:rsid w:val="000E6D6D"/>
    <w:rsid w:val="000E7413"/>
    <w:rsid w:val="00115DDE"/>
    <w:rsid w:val="0011656D"/>
    <w:rsid w:val="00163332"/>
    <w:rsid w:val="001B3A1E"/>
    <w:rsid w:val="001C181B"/>
    <w:rsid w:val="001D28AA"/>
    <w:rsid w:val="0021697A"/>
    <w:rsid w:val="00243D06"/>
    <w:rsid w:val="00255688"/>
    <w:rsid w:val="00271C7B"/>
    <w:rsid w:val="00276F27"/>
    <w:rsid w:val="0027770B"/>
    <w:rsid w:val="002D55FA"/>
    <w:rsid w:val="00302F2B"/>
    <w:rsid w:val="0035661F"/>
    <w:rsid w:val="0038167C"/>
    <w:rsid w:val="003B6F79"/>
    <w:rsid w:val="004047EE"/>
    <w:rsid w:val="00411069"/>
    <w:rsid w:val="00444EE6"/>
    <w:rsid w:val="004A0864"/>
    <w:rsid w:val="004B6C43"/>
    <w:rsid w:val="004C68DC"/>
    <w:rsid w:val="004E28DE"/>
    <w:rsid w:val="00500127"/>
    <w:rsid w:val="005070BE"/>
    <w:rsid w:val="005729BD"/>
    <w:rsid w:val="005907B7"/>
    <w:rsid w:val="005B5A63"/>
    <w:rsid w:val="005E7CA3"/>
    <w:rsid w:val="006059AE"/>
    <w:rsid w:val="00625323"/>
    <w:rsid w:val="00630687"/>
    <w:rsid w:val="006E0D48"/>
    <w:rsid w:val="006F3203"/>
    <w:rsid w:val="00721D6C"/>
    <w:rsid w:val="00723AF1"/>
    <w:rsid w:val="007419A2"/>
    <w:rsid w:val="00743150"/>
    <w:rsid w:val="0076023C"/>
    <w:rsid w:val="00793077"/>
    <w:rsid w:val="007A35C4"/>
    <w:rsid w:val="007C0C10"/>
    <w:rsid w:val="007D1975"/>
    <w:rsid w:val="00805846"/>
    <w:rsid w:val="00832047"/>
    <w:rsid w:val="00866417"/>
    <w:rsid w:val="00876BEC"/>
    <w:rsid w:val="008A19D6"/>
    <w:rsid w:val="008A4CC3"/>
    <w:rsid w:val="008F0A86"/>
    <w:rsid w:val="0090058B"/>
    <w:rsid w:val="00910CBA"/>
    <w:rsid w:val="00914DA5"/>
    <w:rsid w:val="00947640"/>
    <w:rsid w:val="00983E46"/>
    <w:rsid w:val="00996F33"/>
    <w:rsid w:val="009B14AD"/>
    <w:rsid w:val="009C63B2"/>
    <w:rsid w:val="009D59B7"/>
    <w:rsid w:val="00A14995"/>
    <w:rsid w:val="00A575B1"/>
    <w:rsid w:val="00AB1CE3"/>
    <w:rsid w:val="00AD191B"/>
    <w:rsid w:val="00AD1E37"/>
    <w:rsid w:val="00AD324C"/>
    <w:rsid w:val="00B117FD"/>
    <w:rsid w:val="00B13463"/>
    <w:rsid w:val="00B262AD"/>
    <w:rsid w:val="00B37489"/>
    <w:rsid w:val="00B9729E"/>
    <w:rsid w:val="00BB5A91"/>
    <w:rsid w:val="00BC4379"/>
    <w:rsid w:val="00BC7B8E"/>
    <w:rsid w:val="00BF1926"/>
    <w:rsid w:val="00C1360D"/>
    <w:rsid w:val="00C46AC8"/>
    <w:rsid w:val="00C57464"/>
    <w:rsid w:val="00C86B5A"/>
    <w:rsid w:val="00CE172D"/>
    <w:rsid w:val="00CF4C47"/>
    <w:rsid w:val="00D0778C"/>
    <w:rsid w:val="00D07D36"/>
    <w:rsid w:val="00D20446"/>
    <w:rsid w:val="00D20941"/>
    <w:rsid w:val="00D40410"/>
    <w:rsid w:val="00DC1A8A"/>
    <w:rsid w:val="00DD455E"/>
    <w:rsid w:val="00E030D5"/>
    <w:rsid w:val="00E50FC7"/>
    <w:rsid w:val="00E535BA"/>
    <w:rsid w:val="00E8775B"/>
    <w:rsid w:val="00EA528F"/>
    <w:rsid w:val="00EA6CB3"/>
    <w:rsid w:val="00EB43D3"/>
    <w:rsid w:val="00EB61F6"/>
    <w:rsid w:val="00F061BB"/>
    <w:rsid w:val="00F10F02"/>
    <w:rsid w:val="00F13145"/>
    <w:rsid w:val="00F278DE"/>
    <w:rsid w:val="00F34217"/>
    <w:rsid w:val="00F46FA4"/>
    <w:rsid w:val="00F516E1"/>
    <w:rsid w:val="00FB1BA6"/>
    <w:rsid w:val="00FC6C2A"/>
    <w:rsid w:val="00FC7089"/>
    <w:rsid w:val="00FD1316"/>
    <w:rsid w:val="00F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07CDCDC9-CA0D-4754-8771-6F307B7F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Bezriadkovania"/>
    <w:next w:val="Bezriadkovania"/>
    <w:link w:val="Nadpis2Char"/>
    <w:uiPriority w:val="9"/>
    <w:qFormat/>
    <w:rsid w:val="00BB5A91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24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030D5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Nadpis2Char">
    <w:name w:val="Nadpis 2 Char"/>
    <w:basedOn w:val="Predvolenpsmoodseku"/>
    <w:link w:val="Nadpis2"/>
    <w:uiPriority w:val="9"/>
    <w:rsid w:val="00BB5A91"/>
    <w:rPr>
      <w:rFonts w:ascii="Arial" w:eastAsia="Times New Roman" w:hAnsi="Arial" w:cs="Times New Roman"/>
      <w:b/>
      <w:bCs/>
      <w:sz w:val="24"/>
      <w:szCs w:val="36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6C43"/>
    <w:rPr>
      <w:vertAlign w:val="superscript"/>
    </w:rPr>
  </w:style>
  <w:style w:type="table" w:styleId="Strednzoznam2">
    <w:name w:val="Medium List 2"/>
    <w:basedOn w:val="Normlnatabuka"/>
    <w:uiPriority w:val="66"/>
    <w:rsid w:val="006306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D077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077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077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077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0778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diagramDrawing" Target="diagrams/drawing1.xml"/><Relationship Id="rId18" Type="http://schemas.openxmlformats.org/officeDocument/2006/relationships/chart" Target="charts/chart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chart" Target="charts/chart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diagramLayout" Target="diagrams/layout1.xml"/><Relationship Id="rId19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chart" Target="charts/chart1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_rok_programu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_rok_programu_Microsoft_Excel1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_rok_programu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_rok_programu_Microsoft_Excel3.xlsx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chartUserShapes" Target="../drawings/drawing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_rok_programu_Microsoft_Excel4.xlsx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chartUserShapes" Target="../drawings/drawing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_rok_programu_Microsoft_Excel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1030936668374898"/>
          <c:y val="0.16769549170053499"/>
          <c:w val="0.33261063556646597"/>
          <c:h val="0.72877103417693101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Podiel výdavkov na vedu a výskum </c:v>
                </c:pt>
                <c:pt idx="1">
                  <c:v>Celkové výdavky na vedu a výskum</c:v>
                </c:pt>
                <c:pt idx="2">
                  <c:v>High-tech export</c:v>
                </c:pt>
                <c:pt idx="3">
                  <c:v>Počet výskumných pracovníkov</c:v>
                </c:pt>
                <c:pt idx="4">
                  <c:v>Miera vysokoškolsky vzdelanej p. (30-34)</c:v>
                </c:pt>
                <c:pt idx="5">
                  <c:v>Index deklarovanej rozvinutosti e-služieb</c:v>
                </c:pt>
                <c:pt idx="6">
                  <c:v>Podiel domácností pripojených k širok. Int.</c:v>
                </c:pt>
              </c:strCache>
            </c:strRef>
          </c:cat>
          <c:val>
            <c:numRef>
              <c:f>Hárok1!$B$2:$B$8</c:f>
              <c:numCache>
                <c:formatCode>General</c:formatCode>
                <c:ptCount val="7"/>
                <c:pt idx="0">
                  <c:v>8.5</c:v>
                </c:pt>
                <c:pt idx="1">
                  <c:v>3.1</c:v>
                </c:pt>
                <c:pt idx="2">
                  <c:v>9.7000000000000011</c:v>
                </c:pt>
                <c:pt idx="3">
                  <c:v>8.8689999999999998</c:v>
                </c:pt>
                <c:pt idx="4">
                  <c:v>4.18</c:v>
                </c:pt>
                <c:pt idx="5">
                  <c:v>5.0999999999999996</c:v>
                </c:pt>
                <c:pt idx="6">
                  <c:v>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A3-480A-9478-757AF98E661A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Podiel výdavkov na vedu a výskum </c:v>
                </c:pt>
                <c:pt idx="1">
                  <c:v>Celkové výdavky na vedu a výskum</c:v>
                </c:pt>
                <c:pt idx="2">
                  <c:v>High-tech export</c:v>
                </c:pt>
                <c:pt idx="3">
                  <c:v>Počet výskumných pracovníkov</c:v>
                </c:pt>
                <c:pt idx="4">
                  <c:v>Miera vysokoškolsky vzdelanej p. (30-34)</c:v>
                </c:pt>
                <c:pt idx="5">
                  <c:v>Index deklarovanej rozvinutosti e-služieb</c:v>
                </c:pt>
                <c:pt idx="6">
                  <c:v>Podiel domácností pripojených k širok. Int.</c:v>
                </c:pt>
              </c:strCache>
            </c:strRef>
          </c:cat>
          <c:val>
            <c:numRef>
              <c:f>Hárok1!$C$2:$C$8</c:f>
              <c:numCache>
                <c:formatCode>General</c:formatCode>
                <c:ptCount val="7"/>
                <c:pt idx="0">
                  <c:v>10</c:v>
                </c:pt>
                <c:pt idx="1">
                  <c:v>8.1</c:v>
                </c:pt>
                <c:pt idx="2">
                  <c:v>14</c:v>
                </c:pt>
                <c:pt idx="3">
                  <c:v>15</c:v>
                </c:pt>
                <c:pt idx="4">
                  <c:v>4.5</c:v>
                </c:pt>
                <c:pt idx="5">
                  <c:v>9</c:v>
                </c:pt>
                <c:pt idx="6">
                  <c:v>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4A3-480A-9478-757AF98E66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1788544"/>
        <c:axId val="151806720"/>
      </c:radarChart>
      <c:catAx>
        <c:axId val="151788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1806720"/>
        <c:crosses val="autoZero"/>
        <c:auto val="1"/>
        <c:lblAlgn val="ctr"/>
        <c:lblOffset val="100"/>
        <c:noMultiLvlLbl val="0"/>
      </c:catAx>
      <c:valAx>
        <c:axId val="1518067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1788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28773344009965"/>
          <c:y val="0.13394497043231199"/>
          <c:w val="0.35005115885937998"/>
          <c:h val="0.71348520403167004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Priemerná hrubá nominálna mesačná mzda</c:v>
                </c:pt>
                <c:pt idx="1">
                  <c:v>Prirodzený prírastok obyvateľstva </c:v>
                </c:pt>
                <c:pt idx="2">
                  <c:v>Saldo sťahovania </c:v>
                </c:pt>
                <c:pt idx="3">
                  <c:v>Celkový prírastok</c:v>
                </c:pt>
                <c:pt idx="4">
                  <c:v>Počet návštevníkov na výstavách</c:v>
                </c:pt>
                <c:pt idx="5">
                  <c:v>Počet ľudí ohrozených chudobou</c:v>
                </c:pt>
                <c:pt idx="6">
                  <c:v>Miera korupcie</c:v>
                </c:pt>
              </c:strCache>
            </c:strRef>
          </c:cat>
          <c:val>
            <c:numRef>
              <c:f>Hárok1!$B$2:$B$8</c:f>
              <c:numCache>
                <c:formatCode>General</c:formatCode>
                <c:ptCount val="7"/>
                <c:pt idx="0">
                  <c:v>10.98</c:v>
                </c:pt>
                <c:pt idx="1">
                  <c:v>3.26</c:v>
                </c:pt>
                <c:pt idx="2">
                  <c:v>7.6499999999999977</c:v>
                </c:pt>
                <c:pt idx="3">
                  <c:v>10.92</c:v>
                </c:pt>
                <c:pt idx="4">
                  <c:v>7.2454400000000003</c:v>
                </c:pt>
                <c:pt idx="5">
                  <c:v>16.5</c:v>
                </c:pt>
                <c:pt idx="6">
                  <c:v>4.68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265-4ABB-A7E5-38252BDF54C1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Hárok1!$A$2:$A$8</c:f>
              <c:strCache>
                <c:ptCount val="7"/>
                <c:pt idx="0">
                  <c:v>Priemerná hrubá nominálna mesačná mzda</c:v>
                </c:pt>
                <c:pt idx="1">
                  <c:v>Prirodzený prírastok obyvateľstva </c:v>
                </c:pt>
                <c:pt idx="2">
                  <c:v>Saldo sťahovania </c:v>
                </c:pt>
                <c:pt idx="3">
                  <c:v>Celkový prírastok</c:v>
                </c:pt>
                <c:pt idx="4">
                  <c:v>Počet návštevníkov na výstavách</c:v>
                </c:pt>
                <c:pt idx="5">
                  <c:v>Počet ľudí ohrozených chudobou</c:v>
                </c:pt>
                <c:pt idx="6">
                  <c:v>Miera korupcie</c:v>
                </c:pt>
              </c:strCache>
            </c:strRef>
          </c:cat>
          <c:val>
            <c:numRef>
              <c:f>Hárok1!$C$2:$C$8</c:f>
              <c:numCache>
                <c:formatCode>General</c:formatCode>
                <c:ptCount val="7"/>
                <c:pt idx="0">
                  <c:v>14</c:v>
                </c:pt>
                <c:pt idx="1">
                  <c:v>4</c:v>
                </c:pt>
                <c:pt idx="2">
                  <c:v>8</c:v>
                </c:pt>
                <c:pt idx="3">
                  <c:v>12</c:v>
                </c:pt>
                <c:pt idx="4">
                  <c:v>8</c:v>
                </c:pt>
                <c:pt idx="5">
                  <c:v>10</c:v>
                </c:pt>
                <c:pt idx="6">
                  <c:v>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265-4ABB-A7E5-38252BDF54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1814912"/>
        <c:axId val="151816448"/>
      </c:radarChart>
      <c:catAx>
        <c:axId val="151814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1816448"/>
        <c:crosses val="autoZero"/>
        <c:auto val="1"/>
        <c:lblAlgn val="ctr"/>
        <c:lblOffset val="100"/>
        <c:noMultiLvlLbl val="0"/>
      </c:catAx>
      <c:valAx>
        <c:axId val="151816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18149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4941203360431999"/>
          <c:y val="0.13277498195001899"/>
          <c:w val="0.35662700085847898"/>
          <c:h val="0.73993372580675199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Miera zamestnanosti 20-64</c:v>
                </c:pt>
                <c:pt idx="1">
                  <c:v>Miera nezamestnanosti</c:v>
                </c:pt>
                <c:pt idx="2">
                  <c:v>Miera dlhodobej nezamestnanosti</c:v>
                </c:pt>
                <c:pt idx="3">
                  <c:v>Miera rizika chudoby</c:v>
                </c:pt>
              </c:strCache>
            </c:strRef>
          </c:cat>
          <c:val>
            <c:numRef>
              <c:f>Hárok1!$B$2:$B$5</c:f>
              <c:numCache>
                <c:formatCode>General</c:formatCode>
                <c:ptCount val="4"/>
                <c:pt idx="0">
                  <c:v>7.09</c:v>
                </c:pt>
                <c:pt idx="1">
                  <c:v>6</c:v>
                </c:pt>
                <c:pt idx="2">
                  <c:v>7.4</c:v>
                </c:pt>
                <c:pt idx="3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88-4244-AA6B-29C9E0E9F52A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Miera zamestnanosti 20-64</c:v>
                </c:pt>
                <c:pt idx="1">
                  <c:v>Miera nezamestnanosti</c:v>
                </c:pt>
                <c:pt idx="2">
                  <c:v>Miera dlhodobej nezamestnanosti</c:v>
                </c:pt>
                <c:pt idx="3">
                  <c:v>Miera rizika chudoby</c:v>
                </c:pt>
              </c:strCache>
            </c:strRef>
          </c:cat>
          <c:val>
            <c:numRef>
              <c:f>Hárok1!$C$2:$C$5</c:f>
              <c:numCache>
                <c:formatCode>General</c:formatCode>
                <c:ptCount val="4"/>
                <c:pt idx="0">
                  <c:v>7.8</c:v>
                </c:pt>
                <c:pt idx="1">
                  <c:v>4</c:v>
                </c:pt>
                <c:pt idx="2">
                  <c:v>1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C88-4244-AA6B-29C9E0E9F5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1877888"/>
        <c:axId val="151879680"/>
      </c:radarChart>
      <c:catAx>
        <c:axId val="151877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1879680"/>
        <c:crosses val="autoZero"/>
        <c:auto val="1"/>
        <c:lblAlgn val="ctr"/>
        <c:lblOffset val="100"/>
        <c:noMultiLvlLbl val="0"/>
      </c:catAx>
      <c:valAx>
        <c:axId val="15187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18778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4941197717257999"/>
          <c:y val="0.112311853523291"/>
          <c:w val="0.325908438771433"/>
          <c:h val="0.74197274924088796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PZI na obyvateľa</c:v>
                </c:pt>
                <c:pt idx="1">
                  <c:v>HDP na obyvateľa</c:v>
                </c:pt>
                <c:pt idx="2">
                  <c:v>Podiel poľnohospodárskej pôdy</c:v>
                </c:pt>
                <c:pt idx="3">
                  <c:v>Počet podnikateľských subjektov</c:v>
                </c:pt>
              </c:strCache>
            </c:strRef>
          </c:cat>
          <c:val>
            <c:numRef>
              <c:f>Hárok1!$B$2:$B$5</c:f>
              <c:numCache>
                <c:formatCode>General</c:formatCode>
                <c:ptCount val="4"/>
                <c:pt idx="0">
                  <c:v>4.3199999999999976</c:v>
                </c:pt>
                <c:pt idx="1">
                  <c:v>4.8947999999999983</c:v>
                </c:pt>
                <c:pt idx="2">
                  <c:v>4.4400000000000004</c:v>
                </c:pt>
                <c:pt idx="3">
                  <c:v>13.66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DE-4ACC-ADD3-989004C661AE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Hárok1!$A$2:$A$5</c:f>
              <c:strCache>
                <c:ptCount val="4"/>
                <c:pt idx="0">
                  <c:v>PZI na obyvateľa</c:v>
                </c:pt>
                <c:pt idx="1">
                  <c:v>HDP na obyvateľa</c:v>
                </c:pt>
                <c:pt idx="2">
                  <c:v>Podiel poľnohospodárskej pôdy</c:v>
                </c:pt>
                <c:pt idx="3">
                  <c:v>Počet podnikateľských subjektov</c:v>
                </c:pt>
              </c:strCache>
            </c:strRef>
          </c:cat>
          <c:val>
            <c:numRef>
              <c:f>Hárok1!$C$2:$C$5</c:f>
              <c:numCache>
                <c:formatCode>General</c:formatCode>
                <c:ptCount val="4"/>
                <c:pt idx="0">
                  <c:v>4.8</c:v>
                </c:pt>
                <c:pt idx="1">
                  <c:v>4.5</c:v>
                </c:pt>
                <c:pt idx="2">
                  <c:v>4.3</c:v>
                </c:pt>
                <c:pt idx="3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DDE-4ACC-ADD3-989004C661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1896064"/>
        <c:axId val="151897600"/>
      </c:radarChart>
      <c:catAx>
        <c:axId val="151896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1897600"/>
        <c:crosses val="autoZero"/>
        <c:auto val="1"/>
        <c:lblAlgn val="ctr"/>
        <c:lblOffset val="100"/>
        <c:noMultiLvlLbl val="0"/>
      </c:catAx>
      <c:valAx>
        <c:axId val="151897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18960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2747322225206998"/>
          <c:y val="0.17931650044252401"/>
          <c:w val="0.32686515727203502"/>
          <c:h val="0.61841362162077396"/>
        </c:manualLayout>
      </c:layout>
      <c:radarChart>
        <c:radarStyle val="marker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2014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Hárok1!$A$2:$A$7</c:f>
              <c:strCache>
                <c:ptCount val="6"/>
                <c:pt idx="0">
                  <c:v>Množstvo komunálneho odpadu</c:v>
                </c:pt>
                <c:pt idx="1">
                  <c:v>Podiel vydaných energ. Certifikátov (C-G)</c:v>
                </c:pt>
                <c:pt idx="2">
                  <c:v>Podiel OZE na konečnej spotrebe</c:v>
                </c:pt>
                <c:pt idx="3">
                  <c:v>Produkcia tuhých emisií</c:v>
                </c:pt>
                <c:pt idx="4">
                  <c:v>Produkcia oxidu uhoľnatého</c:v>
                </c:pt>
                <c:pt idx="5">
                  <c:v>Podiel zhodnocovaného komunálneho odpadu</c:v>
                </c:pt>
              </c:strCache>
            </c:strRef>
          </c:cat>
          <c:val>
            <c:numRef>
              <c:f>Hárok1!$B$2:$B$7</c:f>
              <c:numCache>
                <c:formatCode>General</c:formatCode>
                <c:ptCount val="6"/>
                <c:pt idx="0">
                  <c:v>4.46</c:v>
                </c:pt>
                <c:pt idx="1">
                  <c:v>12.97</c:v>
                </c:pt>
                <c:pt idx="2">
                  <c:v>11.6</c:v>
                </c:pt>
                <c:pt idx="3">
                  <c:v>7.3199999999999976</c:v>
                </c:pt>
                <c:pt idx="4">
                  <c:v>2.8509999999999991</c:v>
                </c:pt>
                <c:pt idx="5">
                  <c:v>6.68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41-45FF-B8E3-C4DABC617F64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2020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cat>
            <c:strRef>
              <c:f>Hárok1!$A$2:$A$7</c:f>
              <c:strCache>
                <c:ptCount val="6"/>
                <c:pt idx="0">
                  <c:v>Množstvo komunálneho odpadu</c:v>
                </c:pt>
                <c:pt idx="1">
                  <c:v>Podiel vydaných energ. Certifikátov (C-G)</c:v>
                </c:pt>
                <c:pt idx="2">
                  <c:v>Podiel OZE na konečnej spotrebe</c:v>
                </c:pt>
                <c:pt idx="3">
                  <c:v>Produkcia tuhých emisií</c:v>
                </c:pt>
                <c:pt idx="4">
                  <c:v>Produkcia oxidu uhoľnatého</c:v>
                </c:pt>
                <c:pt idx="5">
                  <c:v>Podiel zhodnocovaného komunálneho odpadu</c:v>
                </c:pt>
              </c:strCache>
            </c:strRef>
          </c:cat>
          <c:val>
            <c:numRef>
              <c:f>Hárok1!$C$2:$C$7</c:f>
              <c:numCache>
                <c:formatCode>General</c:formatCode>
                <c:ptCount val="6"/>
                <c:pt idx="0">
                  <c:v>4</c:v>
                </c:pt>
                <c:pt idx="1">
                  <c:v>13</c:v>
                </c:pt>
                <c:pt idx="2">
                  <c:v>14</c:v>
                </c:pt>
                <c:pt idx="3">
                  <c:v>7</c:v>
                </c:pt>
                <c:pt idx="4">
                  <c:v>3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541-45FF-B8E3-C4DABC617F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5178496"/>
        <c:axId val="155180032"/>
      </c:radarChart>
      <c:catAx>
        <c:axId val="155178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5180032"/>
        <c:crosses val="autoZero"/>
        <c:auto val="1"/>
        <c:lblAlgn val="ctr"/>
        <c:lblOffset val="100"/>
        <c:noMultiLvlLbl val="0"/>
      </c:catAx>
      <c:valAx>
        <c:axId val="155180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5178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  <c:userShapes r:id="rId4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068771891318401"/>
          <c:y val="3.9111111111111201E-2"/>
          <c:w val="0.62937053600007797"/>
          <c:h val="0.7644784069887999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Počet projektov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cat>
            <c:strRef>
              <c:f>Hárok1!$A$2:$A$12</c:f>
              <c:strCache>
                <c:ptCount val="11"/>
                <c:pt idx="0">
                  <c:v>Opatrenie 11</c:v>
                </c:pt>
                <c:pt idx="1">
                  <c:v>Opatrenie 10</c:v>
                </c:pt>
                <c:pt idx="2">
                  <c:v>Opatrenie 9</c:v>
                </c:pt>
                <c:pt idx="3">
                  <c:v>Opatrenie 8</c:v>
                </c:pt>
                <c:pt idx="4">
                  <c:v>Opatrenie 7</c:v>
                </c:pt>
                <c:pt idx="5">
                  <c:v>Opatrenie 6</c:v>
                </c:pt>
                <c:pt idx="6">
                  <c:v>Opatrenie 5</c:v>
                </c:pt>
                <c:pt idx="7">
                  <c:v>Opatrenie 4</c:v>
                </c:pt>
                <c:pt idx="8">
                  <c:v>Opatrenie 3</c:v>
                </c:pt>
                <c:pt idx="9">
                  <c:v>Opatrenie 2</c:v>
                </c:pt>
                <c:pt idx="10">
                  <c:v>Opatrenie 1</c:v>
                </c:pt>
              </c:strCache>
            </c:strRef>
          </c:cat>
          <c:val>
            <c:numRef>
              <c:f>Hárok1!$B$2:$B$12</c:f>
              <c:numCache>
                <c:formatCode>General</c:formatCode>
                <c:ptCount val="11"/>
                <c:pt idx="0">
                  <c:v>20</c:v>
                </c:pt>
                <c:pt idx="1">
                  <c:v>14</c:v>
                </c:pt>
                <c:pt idx="2">
                  <c:v>12</c:v>
                </c:pt>
                <c:pt idx="3">
                  <c:v>4</c:v>
                </c:pt>
                <c:pt idx="4">
                  <c:v>13</c:v>
                </c:pt>
                <c:pt idx="5">
                  <c:v>28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3C-4238-84E3-36E00EB545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51368448"/>
        <c:axId val="151543808"/>
      </c:barChart>
      <c:catAx>
        <c:axId val="15136844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1543808"/>
        <c:crosses val="autoZero"/>
        <c:auto val="1"/>
        <c:lblAlgn val="ctr"/>
        <c:lblOffset val="100"/>
        <c:noMultiLvlLbl val="0"/>
      </c:catAx>
      <c:valAx>
        <c:axId val="1515438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51368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6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AEAE0E-CBFB-4B4F-A4BD-1961A7D570A3}" type="doc">
      <dgm:prSet loTypeId="urn:microsoft.com/office/officeart/2005/8/layout/vList5" loCatId="list" qsTypeId="urn:microsoft.com/office/officeart/2005/8/quickstyle/simple2" qsCatId="simple" csTypeId="urn:microsoft.com/office/officeart/2005/8/colors/colorful1#6" csCatId="colorful" phldr="1"/>
      <dgm:spPr/>
      <dgm:t>
        <a:bodyPr/>
        <a:lstStyle/>
        <a:p>
          <a:endParaRPr lang="sk-SK"/>
        </a:p>
      </dgm:t>
    </dgm:pt>
    <dgm:pt modelId="{CE33401E-44FD-4325-AC5E-C9C944CE461E}">
      <dgm:prSet phldrT="[Text]" custT="1">
        <dgm:style>
          <a:lnRef idx="3">
            <a:schemeClr val="lt1"/>
          </a:lnRef>
          <a:fillRef idx="1">
            <a:schemeClr val="accent4"/>
          </a:fillRef>
          <a:effectRef idx="1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1: Veda, výskum a inovácie</a:t>
          </a:r>
          <a:endParaRPr lang="sk-SK" sz="1000" b="1" dirty="0"/>
        </a:p>
      </dgm:t>
    </dgm:pt>
    <dgm:pt modelId="{607F807C-711C-401C-9184-B71868E517E7}" type="parTrans" cxnId="{1CA30BDF-7D44-457A-8271-0E7CAAB1ABE1}">
      <dgm:prSet/>
      <dgm:spPr/>
      <dgm:t>
        <a:bodyPr/>
        <a:lstStyle/>
        <a:p>
          <a:endParaRPr lang="sk-SK"/>
        </a:p>
      </dgm:t>
    </dgm:pt>
    <dgm:pt modelId="{DA895FB7-C437-4AAF-96CD-EA5650FEE2E6}" type="sibTrans" cxnId="{1CA30BDF-7D44-457A-8271-0E7CAAB1ABE1}">
      <dgm:prSet/>
      <dgm:spPr/>
      <dgm:t>
        <a:bodyPr/>
        <a:lstStyle/>
        <a:p>
          <a:endParaRPr lang="sk-SK"/>
        </a:p>
      </dgm:t>
    </dgm:pt>
    <dgm:pt modelId="{CED00458-C073-4163-8B6F-1E90674B2BD4}">
      <dgm:prSet phldrT="[Text]" custT="1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1. Posilnenie výskumu, technologického rozvoja a inovácií</a:t>
          </a:r>
          <a:endParaRPr lang="sk-SK" sz="900" b="0" dirty="0"/>
        </a:p>
      </dgm:t>
    </dgm:pt>
    <dgm:pt modelId="{38659E9F-B508-413F-B529-7DB329468070}" type="parTrans" cxnId="{0985B717-1493-4981-A07C-563B1224045A}">
      <dgm:prSet/>
      <dgm:spPr/>
      <dgm:t>
        <a:bodyPr/>
        <a:lstStyle/>
        <a:p>
          <a:endParaRPr lang="sk-SK"/>
        </a:p>
      </dgm:t>
    </dgm:pt>
    <dgm:pt modelId="{A1227949-FB17-4661-BE0D-3526A96FC5FA}" type="sibTrans" cxnId="{0985B717-1493-4981-A07C-563B1224045A}">
      <dgm:prSet/>
      <dgm:spPr/>
      <dgm:t>
        <a:bodyPr/>
        <a:lstStyle/>
        <a:p>
          <a:endParaRPr lang="sk-SK"/>
        </a:p>
      </dgm:t>
    </dgm:pt>
    <dgm:pt modelId="{592F1C7B-3DEA-45D8-BFAC-74C1DCFD1D94}">
      <dgm:prSet phldrT="[Text]" custT="1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2. Zlepšenie prístupu k informačno-komunikačným technológiám, ako aj využívanie ich kvality</a:t>
          </a:r>
          <a:endParaRPr lang="sk-SK" sz="900" b="0" dirty="0"/>
        </a:p>
      </dgm:t>
    </dgm:pt>
    <dgm:pt modelId="{3379BDE5-7FA6-45DE-BAE3-027838F2A9B9}" type="parTrans" cxnId="{0E1A3F93-6346-4109-B93B-A7320D9D8A6C}">
      <dgm:prSet/>
      <dgm:spPr/>
      <dgm:t>
        <a:bodyPr/>
        <a:lstStyle/>
        <a:p>
          <a:endParaRPr lang="sk-SK"/>
        </a:p>
      </dgm:t>
    </dgm:pt>
    <dgm:pt modelId="{3DA7B67C-886B-4B5D-B787-DD7D73995FC9}" type="sibTrans" cxnId="{0E1A3F93-6346-4109-B93B-A7320D9D8A6C}">
      <dgm:prSet/>
      <dgm:spPr/>
      <dgm:t>
        <a:bodyPr/>
        <a:lstStyle/>
        <a:p>
          <a:endParaRPr lang="sk-SK"/>
        </a:p>
      </dgm:t>
    </dgm:pt>
    <dgm:pt modelId="{C9EB87B6-7392-40C7-A1B6-DF36B7346E97}">
      <dgm:prSet phldrT="[Text]" custT="1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2: Ľudské zdroje</a:t>
          </a:r>
          <a:endParaRPr lang="sk-SK" sz="1000" b="1" dirty="0"/>
        </a:p>
      </dgm:t>
    </dgm:pt>
    <dgm:pt modelId="{D5AEB993-E69B-403B-8EA9-E6FF44C4B847}" type="parTrans" cxnId="{154F978C-34C8-4447-AEC9-14D8B342CA74}">
      <dgm:prSet/>
      <dgm:spPr/>
      <dgm:t>
        <a:bodyPr/>
        <a:lstStyle/>
        <a:p>
          <a:endParaRPr lang="sk-SK"/>
        </a:p>
      </dgm:t>
    </dgm:pt>
    <dgm:pt modelId="{16886F88-BF08-4113-A954-DC6FEF0F421E}" type="sibTrans" cxnId="{154F978C-34C8-4447-AEC9-14D8B342CA74}">
      <dgm:prSet/>
      <dgm:spPr/>
      <dgm:t>
        <a:bodyPr/>
        <a:lstStyle/>
        <a:p>
          <a:endParaRPr lang="sk-SK"/>
        </a:p>
      </dgm:t>
    </dgm:pt>
    <dgm:pt modelId="{B387CDD6-3F8E-4ACC-A800-0E6BDC3D941E}">
      <dgm:prSet phldrT="[Text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10. Investovanie do vzdelávania, zručností a celoživotného vzdelávania</a:t>
          </a:r>
          <a:endParaRPr lang="sk-SK" sz="900" b="0" dirty="0"/>
        </a:p>
      </dgm:t>
    </dgm:pt>
    <dgm:pt modelId="{3E6BD5DA-05BF-4B62-AF1C-6C40B4B39FD4}" type="parTrans" cxnId="{93F4E618-8DCE-4BCE-9546-6ED5772DED38}">
      <dgm:prSet/>
      <dgm:spPr/>
      <dgm:t>
        <a:bodyPr/>
        <a:lstStyle/>
        <a:p>
          <a:endParaRPr lang="sk-SK"/>
        </a:p>
      </dgm:t>
    </dgm:pt>
    <dgm:pt modelId="{B78A9FF0-D784-49D2-8BCC-F12F1CF96FEA}" type="sibTrans" cxnId="{93F4E618-8DCE-4BCE-9546-6ED5772DED38}">
      <dgm:prSet/>
      <dgm:spPr/>
      <dgm:t>
        <a:bodyPr/>
        <a:lstStyle/>
        <a:p>
          <a:endParaRPr lang="sk-SK"/>
        </a:p>
      </dgm:t>
    </dgm:pt>
    <dgm:pt modelId="{CE99A8C5-AA2E-427E-BC65-82104FDE624B}">
      <dgm:prSet phldrT="[Text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11. Zvyšovanie inštitucionálnych kapacít a zabezpečovanie efektivity verejnej správy,</a:t>
          </a:r>
          <a:endParaRPr lang="sk-SK" sz="900" b="0" dirty="0"/>
        </a:p>
      </dgm:t>
    </dgm:pt>
    <dgm:pt modelId="{7551975F-10AC-422D-BDB9-D5508A37C06D}" type="parTrans" cxnId="{3A99FB73-38F5-45E7-B5FE-65BB7254A9BA}">
      <dgm:prSet/>
      <dgm:spPr/>
      <dgm:t>
        <a:bodyPr/>
        <a:lstStyle/>
        <a:p>
          <a:endParaRPr lang="sk-SK"/>
        </a:p>
      </dgm:t>
    </dgm:pt>
    <dgm:pt modelId="{7AF5B791-73B6-4A59-8393-DC5C5D26D819}" type="sibTrans" cxnId="{3A99FB73-38F5-45E7-B5FE-65BB7254A9BA}">
      <dgm:prSet/>
      <dgm:spPr/>
      <dgm:t>
        <a:bodyPr/>
        <a:lstStyle/>
        <a:p>
          <a:endParaRPr lang="sk-SK"/>
        </a:p>
      </dgm:t>
    </dgm:pt>
    <dgm:pt modelId="{EA5D8E57-7B7F-4EE9-BACA-92CB8F4184E2}">
      <dgm:prSet phldrT="[Text]" custT="1">
        <dgm:style>
          <a:lnRef idx="3">
            <a:schemeClr val="lt1"/>
          </a:lnRef>
          <a:fillRef idx="1">
            <a:schemeClr val="accent1"/>
          </a:fillRef>
          <a:effectRef idx="1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3: Zamestnanosť </a:t>
          </a:r>
          <a:endParaRPr lang="sk-SK" sz="1000" b="1" dirty="0"/>
        </a:p>
      </dgm:t>
    </dgm:pt>
    <dgm:pt modelId="{6C67068D-DC24-4B9B-85DD-D974AF73FBEE}" type="parTrans" cxnId="{57C33E02-E068-49DC-B4E3-6605B8B8A62D}">
      <dgm:prSet/>
      <dgm:spPr/>
      <dgm:t>
        <a:bodyPr/>
        <a:lstStyle/>
        <a:p>
          <a:endParaRPr lang="sk-SK"/>
        </a:p>
      </dgm:t>
    </dgm:pt>
    <dgm:pt modelId="{4411F26D-9ECE-4F65-B727-A191BA00085A}" type="sibTrans" cxnId="{57C33E02-E068-49DC-B4E3-6605B8B8A62D}">
      <dgm:prSet/>
      <dgm:spPr/>
      <dgm:t>
        <a:bodyPr/>
        <a:lstStyle/>
        <a:p>
          <a:endParaRPr lang="sk-SK"/>
        </a:p>
      </dgm:t>
    </dgm:pt>
    <dgm:pt modelId="{715067ED-8E94-4C54-A155-910E3E3CC042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1. Posilnenie výskumu, technologického rozvoja a inovácií</a:t>
          </a:r>
          <a:endParaRPr lang="sk-SK" sz="900" b="0" dirty="0"/>
        </a:p>
      </dgm:t>
    </dgm:pt>
    <dgm:pt modelId="{DDEE45A0-CFAF-4A97-B50E-A8C20F53E577}" type="parTrans" cxnId="{45A286CF-3494-4202-B401-037FDC40BFB6}">
      <dgm:prSet/>
      <dgm:spPr/>
      <dgm:t>
        <a:bodyPr/>
        <a:lstStyle/>
        <a:p>
          <a:endParaRPr lang="sk-SK"/>
        </a:p>
      </dgm:t>
    </dgm:pt>
    <dgm:pt modelId="{8376BEB2-B47A-42D2-91D7-1C05B5F7DD7E}" type="sibTrans" cxnId="{45A286CF-3494-4202-B401-037FDC40BFB6}">
      <dgm:prSet/>
      <dgm:spPr/>
      <dgm:t>
        <a:bodyPr/>
        <a:lstStyle/>
        <a:p>
          <a:endParaRPr lang="sk-SK"/>
        </a:p>
      </dgm:t>
    </dgm:pt>
    <dgm:pt modelId="{941E7087-85B8-4D87-A954-37B21187FE92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8. Podpora zamestnanosti a podporovanie mobility pracovnej sily</a:t>
          </a:r>
          <a:endParaRPr lang="sk-SK" sz="900" b="0" dirty="0"/>
        </a:p>
      </dgm:t>
    </dgm:pt>
    <dgm:pt modelId="{4BD07C3D-0521-4DEA-BD3A-53F377F60DB0}" type="parTrans" cxnId="{DFEBB138-D47A-48E9-8797-5DF355F90210}">
      <dgm:prSet/>
      <dgm:spPr/>
      <dgm:t>
        <a:bodyPr/>
        <a:lstStyle/>
        <a:p>
          <a:endParaRPr lang="sk-SK"/>
        </a:p>
      </dgm:t>
    </dgm:pt>
    <dgm:pt modelId="{B24D06FA-1E32-4774-BFD0-4D1C65D78C3D}" type="sibTrans" cxnId="{DFEBB138-D47A-48E9-8797-5DF355F90210}">
      <dgm:prSet/>
      <dgm:spPr/>
      <dgm:t>
        <a:bodyPr/>
        <a:lstStyle/>
        <a:p>
          <a:endParaRPr lang="sk-SK"/>
        </a:p>
      </dgm:t>
    </dgm:pt>
    <dgm:pt modelId="{CA6213B4-9E17-4C17-A315-F560C3668EA0}">
      <dgm:prSet phldrT="[Text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9. Podpora sociálneho začleňovania a boj proti chudobe</a:t>
          </a:r>
          <a:endParaRPr lang="sk-SK" sz="900" b="0" dirty="0"/>
        </a:p>
      </dgm:t>
    </dgm:pt>
    <dgm:pt modelId="{68C3CB51-5D38-4E0C-BD4E-BF603A821C78}" type="parTrans" cxnId="{9B6049BF-6B8D-4A07-81A6-3318D9944290}">
      <dgm:prSet/>
      <dgm:spPr/>
      <dgm:t>
        <a:bodyPr/>
        <a:lstStyle/>
        <a:p>
          <a:endParaRPr lang="sk-SK"/>
        </a:p>
      </dgm:t>
    </dgm:pt>
    <dgm:pt modelId="{7F3BC83B-8A12-48DD-B341-51BF24D6EEA7}" type="sibTrans" cxnId="{9B6049BF-6B8D-4A07-81A6-3318D9944290}">
      <dgm:prSet/>
      <dgm:spPr/>
      <dgm:t>
        <a:bodyPr/>
        <a:lstStyle/>
        <a:p>
          <a:endParaRPr lang="sk-SK"/>
        </a:p>
      </dgm:t>
    </dgm:pt>
    <dgm:pt modelId="{95CC72FA-AC6A-4F42-B09B-4C0493AB9728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11. Zvyšovanie inštitucionálnych kapacít a zabezpečovanie efektivity verejnej správy</a:t>
          </a:r>
          <a:endParaRPr lang="sk-SK" sz="900" b="0" dirty="0"/>
        </a:p>
      </dgm:t>
    </dgm:pt>
    <dgm:pt modelId="{8561C348-971D-47FB-866A-257A65DA668C}" type="parTrans" cxnId="{A4918B34-EF0B-4D9F-96AE-8E90F5217511}">
      <dgm:prSet/>
      <dgm:spPr/>
      <dgm:t>
        <a:bodyPr/>
        <a:lstStyle/>
        <a:p>
          <a:endParaRPr lang="sk-SK"/>
        </a:p>
      </dgm:t>
    </dgm:pt>
    <dgm:pt modelId="{ECCDF80F-8F4F-45B3-AEC3-B44916471374}" type="sibTrans" cxnId="{A4918B34-EF0B-4D9F-96AE-8E90F5217511}">
      <dgm:prSet/>
      <dgm:spPr/>
      <dgm:t>
        <a:bodyPr/>
        <a:lstStyle/>
        <a:p>
          <a:endParaRPr lang="sk-SK"/>
        </a:p>
      </dgm:t>
    </dgm:pt>
    <dgm:pt modelId="{FFFE0EB7-C797-4181-B22E-66A90B892B56}">
      <dgm:prSet custT="1">
        <dgm:style>
          <a:lnRef idx="3">
            <a:schemeClr val="lt1"/>
          </a:lnRef>
          <a:fillRef idx="1">
            <a:schemeClr val="accent3"/>
          </a:fillRef>
          <a:effectRef idx="1">
            <a:schemeClr val="accent3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5: Životné prostredie, zmeny klímy a obnoviteľné zdroje energie</a:t>
          </a:r>
          <a:endParaRPr lang="sk-SK" sz="1000" b="1" dirty="0"/>
        </a:p>
      </dgm:t>
    </dgm:pt>
    <dgm:pt modelId="{2FEAC91E-4750-498D-BE75-45A214BD5691}" type="parTrans" cxnId="{8F862E42-0E25-42F6-B095-D59B74E361F4}">
      <dgm:prSet/>
      <dgm:spPr/>
      <dgm:t>
        <a:bodyPr/>
        <a:lstStyle/>
        <a:p>
          <a:endParaRPr lang="sk-SK"/>
        </a:p>
      </dgm:t>
    </dgm:pt>
    <dgm:pt modelId="{8196F56D-FC1A-4B7A-B405-B8B7667C595A}" type="sibTrans" cxnId="{8F862E42-0E25-42F6-B095-D59B74E361F4}">
      <dgm:prSet/>
      <dgm:spPr/>
      <dgm:t>
        <a:bodyPr/>
        <a:lstStyle/>
        <a:p>
          <a:endParaRPr lang="sk-SK"/>
        </a:p>
      </dgm:t>
    </dgm:pt>
    <dgm:pt modelId="{C3C5B8C8-B5D3-4197-828B-7330FD77F940}">
      <dgm:prSet custT="1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sk-SK" sz="1000" b="1" dirty="0" smtClean="0"/>
            <a:t>PO 4: Konkurencieschopnosť, rast a podnikateľské prostredie</a:t>
          </a:r>
          <a:endParaRPr lang="sk-SK" sz="1000" b="1" dirty="0"/>
        </a:p>
      </dgm:t>
    </dgm:pt>
    <dgm:pt modelId="{99CB240F-F57F-4B59-BB9B-5BE90B24FBED}" type="parTrans" cxnId="{189F8EFD-8B86-4A1B-BAE1-408AB6FA1CC3}">
      <dgm:prSet/>
      <dgm:spPr/>
      <dgm:t>
        <a:bodyPr/>
        <a:lstStyle/>
        <a:p>
          <a:endParaRPr lang="sk-SK"/>
        </a:p>
      </dgm:t>
    </dgm:pt>
    <dgm:pt modelId="{90C25EA7-2A00-4AD4-BCCE-BFAEA6AF23B0}" type="sibTrans" cxnId="{189F8EFD-8B86-4A1B-BAE1-408AB6FA1CC3}">
      <dgm:prSet/>
      <dgm:spPr/>
      <dgm:t>
        <a:bodyPr/>
        <a:lstStyle/>
        <a:p>
          <a:endParaRPr lang="sk-SK"/>
        </a:p>
      </dgm:t>
    </dgm:pt>
    <dgm:pt modelId="{72014D75-7797-4602-85C7-1A2EC6B2097D}">
      <dgm:prSet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3. Zvýšenie konkurencieschopnosti malých a stredných podnikov, odvetvia poľnohospodárstva a rybného hospodárstva</a:t>
          </a:r>
          <a:endParaRPr lang="sk-SK" sz="900" b="0" dirty="0"/>
        </a:p>
      </dgm:t>
    </dgm:pt>
    <dgm:pt modelId="{A2EC39C8-53E1-4FB2-A72B-050ED80DCE68}" type="parTrans" cxnId="{4CE10915-4900-4EC4-914F-9F1188DF3B53}">
      <dgm:prSet/>
      <dgm:spPr/>
      <dgm:t>
        <a:bodyPr/>
        <a:lstStyle/>
        <a:p>
          <a:endParaRPr lang="sk-SK"/>
        </a:p>
      </dgm:t>
    </dgm:pt>
    <dgm:pt modelId="{0973095F-6383-4F38-B45C-BDBA76ED41F0}" type="sibTrans" cxnId="{4CE10915-4900-4EC4-914F-9F1188DF3B53}">
      <dgm:prSet/>
      <dgm:spPr/>
      <dgm:t>
        <a:bodyPr/>
        <a:lstStyle/>
        <a:p>
          <a:endParaRPr lang="sk-SK"/>
        </a:p>
      </dgm:t>
    </dgm:pt>
    <dgm:pt modelId="{A6CB253F-5863-45BA-A5A5-D62D4C2D45E1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4. Podpora prechodu na </a:t>
          </a:r>
          <a:r>
            <a:rPr lang="sk-SK" sz="900" b="0" dirty="0" err="1" smtClean="0"/>
            <a:t>nízkouhlíkové</a:t>
          </a:r>
          <a:r>
            <a:rPr lang="sk-SK" sz="900" b="0" dirty="0" smtClean="0"/>
            <a:t> hospodárstvo vo všetkých sektoroch</a:t>
          </a:r>
          <a:endParaRPr lang="sk-SK" sz="900" b="0" dirty="0"/>
        </a:p>
      </dgm:t>
    </dgm:pt>
    <dgm:pt modelId="{6F150937-54DE-472D-904E-AC3A5D491E76}" type="parTrans" cxnId="{6DEF7756-B25E-4CA7-92E3-F72E4E5DCD68}">
      <dgm:prSet/>
      <dgm:spPr/>
      <dgm:t>
        <a:bodyPr/>
        <a:lstStyle/>
        <a:p>
          <a:endParaRPr lang="sk-SK"/>
        </a:p>
      </dgm:t>
    </dgm:pt>
    <dgm:pt modelId="{89F4B697-C26F-4A7E-9804-1838FA8A7E37}" type="sibTrans" cxnId="{6DEF7756-B25E-4CA7-92E3-F72E4E5DCD68}">
      <dgm:prSet/>
      <dgm:spPr/>
      <dgm:t>
        <a:bodyPr/>
        <a:lstStyle/>
        <a:p>
          <a:endParaRPr lang="sk-SK"/>
        </a:p>
      </dgm:t>
    </dgm:pt>
    <dgm:pt modelId="{001485CC-5A2D-46C0-9665-B5E1D31CF197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5. Podpora prispôsobenia sa zmenám klímy a predchádzania rizikám a ich riadenia</a:t>
          </a:r>
          <a:endParaRPr lang="sk-SK" sz="900" b="0" dirty="0"/>
        </a:p>
      </dgm:t>
    </dgm:pt>
    <dgm:pt modelId="{37B6D2A1-DC20-4A1B-96E5-334B027083CA}" type="parTrans" cxnId="{25299E02-068B-4409-8E9F-E9F67501B84F}">
      <dgm:prSet/>
      <dgm:spPr/>
      <dgm:t>
        <a:bodyPr/>
        <a:lstStyle/>
        <a:p>
          <a:endParaRPr lang="sk-SK"/>
        </a:p>
      </dgm:t>
    </dgm:pt>
    <dgm:pt modelId="{090E84F1-E964-413B-AD9B-EFF354E8808C}" type="sibTrans" cxnId="{25299E02-068B-4409-8E9F-E9F67501B84F}">
      <dgm:prSet/>
      <dgm:spPr/>
      <dgm:t>
        <a:bodyPr/>
        <a:lstStyle/>
        <a:p>
          <a:endParaRPr lang="sk-SK"/>
        </a:p>
      </dgm:t>
    </dgm:pt>
    <dgm:pt modelId="{E89A0F6C-8D50-4A33-A163-4881D5EFDFF1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6. Ochrana ŽP a presadzovanie udržateľného využívania zdrojov</a:t>
          </a:r>
          <a:endParaRPr lang="sk-SK" sz="900" b="0" dirty="0"/>
        </a:p>
      </dgm:t>
    </dgm:pt>
    <dgm:pt modelId="{CE65796F-2D48-438D-BC02-5FF17D2CE028}" type="parTrans" cxnId="{5A904995-A88B-4A60-AE2C-A8F71C76D192}">
      <dgm:prSet/>
      <dgm:spPr/>
      <dgm:t>
        <a:bodyPr/>
        <a:lstStyle/>
        <a:p>
          <a:endParaRPr lang="sk-SK"/>
        </a:p>
      </dgm:t>
    </dgm:pt>
    <dgm:pt modelId="{EED77AF0-6546-4921-AC6D-F68EEF7B2BAE}" type="sibTrans" cxnId="{5A904995-A88B-4A60-AE2C-A8F71C76D192}">
      <dgm:prSet/>
      <dgm:spPr/>
      <dgm:t>
        <a:bodyPr/>
        <a:lstStyle/>
        <a:p>
          <a:endParaRPr lang="sk-SK"/>
        </a:p>
      </dgm:t>
    </dgm:pt>
    <dgm:pt modelId="{9D2D5F32-6B73-407D-B707-F150F363962A}">
      <dgm:prSet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sk-SK" sz="900" b="0" dirty="0" smtClean="0"/>
            <a:t>7. Podpora udržateľnej dopravy a odstraňovanie prekážok v kľúčových sieťových infraštruktúrach</a:t>
          </a:r>
          <a:endParaRPr lang="sk-SK" sz="900" b="0" dirty="0"/>
        </a:p>
      </dgm:t>
    </dgm:pt>
    <dgm:pt modelId="{EC419376-A208-482B-A79F-647B13E76604}" type="sibTrans" cxnId="{2683301D-378B-476A-A2B8-2B8909F5D414}">
      <dgm:prSet/>
      <dgm:spPr/>
      <dgm:t>
        <a:bodyPr/>
        <a:lstStyle/>
        <a:p>
          <a:endParaRPr lang="sk-SK"/>
        </a:p>
      </dgm:t>
    </dgm:pt>
    <dgm:pt modelId="{F63967D6-8DB2-4EF3-91EA-C7B7DF56F553}" type="parTrans" cxnId="{2683301D-378B-476A-A2B8-2B8909F5D414}">
      <dgm:prSet/>
      <dgm:spPr/>
      <dgm:t>
        <a:bodyPr/>
        <a:lstStyle/>
        <a:p>
          <a:endParaRPr lang="sk-SK"/>
        </a:p>
      </dgm:t>
    </dgm:pt>
    <dgm:pt modelId="{AC76CA7C-8E13-4A2D-8A32-E72F20E0A857}" type="pres">
      <dgm:prSet presAssocID="{16AEAE0E-CBFB-4B4F-A4BD-1961A7D570A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64F2D3C8-CD25-4E1D-83B8-B450EBAE3AE0}" type="pres">
      <dgm:prSet presAssocID="{CE33401E-44FD-4325-AC5E-C9C944CE461E}" presName="linNode" presStyleCnt="0"/>
      <dgm:spPr/>
    </dgm:pt>
    <dgm:pt modelId="{4AB4BFBF-5FB4-4797-8AF5-975295914743}" type="pres">
      <dgm:prSet presAssocID="{CE33401E-44FD-4325-AC5E-C9C944CE461E}" presName="parentText" presStyleLbl="node1" presStyleIdx="0" presStyleCnt="5" custScaleX="79798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B9DE856F-6425-4C29-816E-E3C1F57472A7}" type="pres">
      <dgm:prSet presAssocID="{CE33401E-44FD-4325-AC5E-C9C944CE461E}" presName="descendantText" presStyleLbl="alignAccFollowNode1" presStyleIdx="0" presStyleCnt="5" custScaleX="140838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2C062CD3-9E0B-4F7C-A418-929D533A8ECF}" type="pres">
      <dgm:prSet presAssocID="{DA895FB7-C437-4AAF-96CD-EA5650FEE2E6}" presName="sp" presStyleCnt="0"/>
      <dgm:spPr/>
    </dgm:pt>
    <dgm:pt modelId="{CE2FB8CC-3915-4A4C-A81B-DDFA4E50575B}" type="pres">
      <dgm:prSet presAssocID="{C9EB87B6-7392-40C7-A1B6-DF36B7346E97}" presName="linNode" presStyleCnt="0"/>
      <dgm:spPr/>
    </dgm:pt>
    <dgm:pt modelId="{C997F499-3C46-453E-8039-0EFBE09DCE62}" type="pres">
      <dgm:prSet presAssocID="{C9EB87B6-7392-40C7-A1B6-DF36B7346E97}" presName="parentText" presStyleLbl="node1" presStyleIdx="1" presStyleCnt="5" custScaleX="75226" custLinFactNeighborX="-12" custLinFactNeighborY="32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1AFCB851-70E7-40AA-B422-042C59CEEAA6}" type="pres">
      <dgm:prSet presAssocID="{C9EB87B6-7392-40C7-A1B6-DF36B7346E97}" presName="descendantText" presStyleLbl="alignAccFollowNode1" presStyleIdx="1" presStyleCnt="5" custScaleX="135234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05E7CD4C-2664-4DE4-A3C6-B890F35634F7}" type="pres">
      <dgm:prSet presAssocID="{16886F88-BF08-4113-A954-DC6FEF0F421E}" presName="sp" presStyleCnt="0"/>
      <dgm:spPr/>
    </dgm:pt>
    <dgm:pt modelId="{B2274DE9-1D7F-49BB-9660-CADAE316EC2D}" type="pres">
      <dgm:prSet presAssocID="{EA5D8E57-7B7F-4EE9-BACA-92CB8F4184E2}" presName="linNode" presStyleCnt="0"/>
      <dgm:spPr/>
    </dgm:pt>
    <dgm:pt modelId="{B51E1390-1D74-4D3B-82B2-7D86FA300D32}" type="pres">
      <dgm:prSet presAssocID="{EA5D8E57-7B7F-4EE9-BACA-92CB8F4184E2}" presName="parentText" presStyleLbl="node1" presStyleIdx="2" presStyleCnt="5" custScaleX="77319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C2C66D52-62E9-4C68-8CD2-F24578FAB035}" type="pres">
      <dgm:prSet presAssocID="{EA5D8E57-7B7F-4EE9-BACA-92CB8F4184E2}" presName="descendantText" presStyleLbl="alignAccFollowNode1" presStyleIdx="2" presStyleCnt="5" custScaleX="137014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13005350-E7BD-49F2-8FD1-756E15CD2B1C}" type="pres">
      <dgm:prSet presAssocID="{4411F26D-9ECE-4F65-B727-A191BA00085A}" presName="sp" presStyleCnt="0"/>
      <dgm:spPr/>
    </dgm:pt>
    <dgm:pt modelId="{2496AC1F-0F6A-4DF6-A19C-E94CB8FDF020}" type="pres">
      <dgm:prSet presAssocID="{C3C5B8C8-B5D3-4197-828B-7330FD77F940}" presName="linNode" presStyleCnt="0"/>
      <dgm:spPr/>
    </dgm:pt>
    <dgm:pt modelId="{7D5F49E0-9618-4439-8449-C5B505D305E6}" type="pres">
      <dgm:prSet presAssocID="{C3C5B8C8-B5D3-4197-828B-7330FD77F940}" presName="parentText" presStyleLbl="node1" presStyleIdx="3" presStyleCnt="5" custScaleX="95355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67FDCBF2-BD84-45DE-B08A-7792BA27C8B5}" type="pres">
      <dgm:prSet presAssocID="{C3C5B8C8-B5D3-4197-828B-7330FD77F940}" presName="descendantText" presStyleLbl="alignAccFollowNode1" presStyleIdx="3" presStyleCnt="5" custScaleX="17116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F8D1EC25-F8A9-466E-B66C-7C1BEFA38B41}" type="pres">
      <dgm:prSet presAssocID="{90C25EA7-2A00-4AD4-BCCE-BFAEA6AF23B0}" presName="sp" presStyleCnt="0"/>
      <dgm:spPr/>
    </dgm:pt>
    <dgm:pt modelId="{EC9A32AC-ABE8-4411-B9D1-3AAD9759CD9F}" type="pres">
      <dgm:prSet presAssocID="{FFFE0EB7-C797-4181-B22E-66A90B892B56}" presName="linNode" presStyleCnt="0"/>
      <dgm:spPr/>
    </dgm:pt>
    <dgm:pt modelId="{3AF6ABCE-C716-4B9D-A04C-ACD89C0A89E1}" type="pres">
      <dgm:prSet presAssocID="{FFFE0EB7-C797-4181-B22E-66A90B892B56}" presName="parentText" presStyleLbl="node1" presStyleIdx="4" presStyleCnt="5" custScaleX="72195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B30AFCD-0276-482F-A808-A54DE709CC20}" type="pres">
      <dgm:prSet presAssocID="{FFFE0EB7-C797-4181-B22E-66A90B892B56}" presName="descendantText" presStyleLbl="alignAccFollowNode1" presStyleIdx="4" presStyleCnt="5" custScaleX="133363" custScaleY="108927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</dgm:ptLst>
  <dgm:cxnLst>
    <dgm:cxn modelId="{A4918B34-EF0B-4D9F-96AE-8E90F5217511}" srcId="{EA5D8E57-7B7F-4EE9-BACA-92CB8F4184E2}" destId="{95CC72FA-AC6A-4F42-B09B-4C0493AB9728}" srcOrd="2" destOrd="0" parTransId="{8561C348-971D-47FB-866A-257A65DA668C}" sibTransId="{ECCDF80F-8F4F-45B3-AEC3-B44916471374}"/>
    <dgm:cxn modelId="{93F4E618-8DCE-4BCE-9546-6ED5772DED38}" srcId="{C9EB87B6-7392-40C7-A1B6-DF36B7346E97}" destId="{B387CDD6-3F8E-4ACC-A800-0E6BDC3D941E}" srcOrd="0" destOrd="0" parTransId="{3E6BD5DA-05BF-4B62-AF1C-6C40B4B39FD4}" sibTransId="{B78A9FF0-D784-49D2-8BCC-F12F1CF96FEA}"/>
    <dgm:cxn modelId="{2683301D-378B-476A-A2B8-2B8909F5D414}" srcId="{FFFE0EB7-C797-4181-B22E-66A90B892B56}" destId="{9D2D5F32-6B73-407D-B707-F150F363962A}" srcOrd="0" destOrd="0" parTransId="{F63967D6-8DB2-4EF3-91EA-C7B7DF56F553}" sibTransId="{EC419376-A208-482B-A79F-647B13E76604}"/>
    <dgm:cxn modelId="{DFEBB138-D47A-48E9-8797-5DF355F90210}" srcId="{EA5D8E57-7B7F-4EE9-BACA-92CB8F4184E2}" destId="{941E7087-85B8-4D87-A954-37B21187FE92}" srcOrd="1" destOrd="0" parTransId="{4BD07C3D-0521-4DEA-BD3A-53F377F60DB0}" sibTransId="{B24D06FA-1E32-4774-BFD0-4D1C65D78C3D}"/>
    <dgm:cxn modelId="{338D6C95-A932-4BB8-966A-F85E59CA3B37}" type="presOf" srcId="{CED00458-C073-4163-8B6F-1E90674B2BD4}" destId="{B9DE856F-6425-4C29-816E-E3C1F57472A7}" srcOrd="0" destOrd="0" presId="urn:microsoft.com/office/officeart/2005/8/layout/vList5"/>
    <dgm:cxn modelId="{0985B717-1493-4981-A07C-563B1224045A}" srcId="{CE33401E-44FD-4325-AC5E-C9C944CE461E}" destId="{CED00458-C073-4163-8B6F-1E90674B2BD4}" srcOrd="0" destOrd="0" parTransId="{38659E9F-B508-413F-B529-7DB329468070}" sibTransId="{A1227949-FB17-4661-BE0D-3526A96FC5FA}"/>
    <dgm:cxn modelId="{E8233783-4C68-4490-A30C-CBD48F2FB429}" type="presOf" srcId="{9D2D5F32-6B73-407D-B707-F150F363962A}" destId="{9B30AFCD-0276-482F-A808-A54DE709CC20}" srcOrd="0" destOrd="0" presId="urn:microsoft.com/office/officeart/2005/8/layout/vList5"/>
    <dgm:cxn modelId="{7E23A1A4-E746-49F0-8C67-9B8E6786F02D}" type="presOf" srcId="{A6CB253F-5863-45BA-A5A5-D62D4C2D45E1}" destId="{9B30AFCD-0276-482F-A808-A54DE709CC20}" srcOrd="0" destOrd="1" presId="urn:microsoft.com/office/officeart/2005/8/layout/vList5"/>
    <dgm:cxn modelId="{8F862E42-0E25-42F6-B095-D59B74E361F4}" srcId="{16AEAE0E-CBFB-4B4F-A4BD-1961A7D570A3}" destId="{FFFE0EB7-C797-4181-B22E-66A90B892B56}" srcOrd="4" destOrd="0" parTransId="{2FEAC91E-4750-498D-BE75-45A214BD5691}" sibTransId="{8196F56D-FC1A-4B7A-B405-B8B7667C595A}"/>
    <dgm:cxn modelId="{B7AE7D33-FFC7-4C69-8090-3697335B8DB7}" type="presOf" srcId="{C3C5B8C8-B5D3-4197-828B-7330FD77F940}" destId="{7D5F49E0-9618-4439-8449-C5B505D305E6}" srcOrd="0" destOrd="0" presId="urn:microsoft.com/office/officeart/2005/8/layout/vList5"/>
    <dgm:cxn modelId="{45A286CF-3494-4202-B401-037FDC40BFB6}" srcId="{EA5D8E57-7B7F-4EE9-BACA-92CB8F4184E2}" destId="{715067ED-8E94-4C54-A155-910E3E3CC042}" srcOrd="0" destOrd="0" parTransId="{DDEE45A0-CFAF-4A97-B50E-A8C20F53E577}" sibTransId="{8376BEB2-B47A-42D2-91D7-1C05B5F7DD7E}"/>
    <dgm:cxn modelId="{4CE10915-4900-4EC4-914F-9F1188DF3B53}" srcId="{C3C5B8C8-B5D3-4197-828B-7330FD77F940}" destId="{72014D75-7797-4602-85C7-1A2EC6B2097D}" srcOrd="0" destOrd="0" parTransId="{A2EC39C8-53E1-4FB2-A72B-050ED80DCE68}" sibTransId="{0973095F-6383-4F38-B45C-BDBA76ED41F0}"/>
    <dgm:cxn modelId="{3E135C9B-8C09-44E3-8725-FF449BFEAB9E}" type="presOf" srcId="{E89A0F6C-8D50-4A33-A163-4881D5EFDFF1}" destId="{9B30AFCD-0276-482F-A808-A54DE709CC20}" srcOrd="0" destOrd="3" presId="urn:microsoft.com/office/officeart/2005/8/layout/vList5"/>
    <dgm:cxn modelId="{2B8040DC-8959-4539-91E6-6D116FC49928}" type="presOf" srcId="{EA5D8E57-7B7F-4EE9-BACA-92CB8F4184E2}" destId="{B51E1390-1D74-4D3B-82B2-7D86FA300D32}" srcOrd="0" destOrd="0" presId="urn:microsoft.com/office/officeart/2005/8/layout/vList5"/>
    <dgm:cxn modelId="{6DEF7756-B25E-4CA7-92E3-F72E4E5DCD68}" srcId="{FFFE0EB7-C797-4181-B22E-66A90B892B56}" destId="{A6CB253F-5863-45BA-A5A5-D62D4C2D45E1}" srcOrd="1" destOrd="0" parTransId="{6F150937-54DE-472D-904E-AC3A5D491E76}" sibTransId="{89F4B697-C26F-4A7E-9804-1838FA8A7E37}"/>
    <dgm:cxn modelId="{40EB01BA-1C10-4D8B-970C-9CADC5B9CC22}" type="presOf" srcId="{C9EB87B6-7392-40C7-A1B6-DF36B7346E97}" destId="{C997F499-3C46-453E-8039-0EFBE09DCE62}" srcOrd="0" destOrd="0" presId="urn:microsoft.com/office/officeart/2005/8/layout/vList5"/>
    <dgm:cxn modelId="{3A99FB73-38F5-45E7-B5FE-65BB7254A9BA}" srcId="{C9EB87B6-7392-40C7-A1B6-DF36B7346E97}" destId="{CE99A8C5-AA2E-427E-BC65-82104FDE624B}" srcOrd="1" destOrd="0" parTransId="{7551975F-10AC-422D-BDB9-D5508A37C06D}" sibTransId="{7AF5B791-73B6-4A59-8393-DC5C5D26D819}"/>
    <dgm:cxn modelId="{E06E6532-89B3-472D-AA09-1C2C6E49B379}" type="presOf" srcId="{CE33401E-44FD-4325-AC5E-C9C944CE461E}" destId="{4AB4BFBF-5FB4-4797-8AF5-975295914743}" srcOrd="0" destOrd="0" presId="urn:microsoft.com/office/officeart/2005/8/layout/vList5"/>
    <dgm:cxn modelId="{4210AC7C-08AD-48F8-97E5-3C052F0D0121}" type="presOf" srcId="{CA6213B4-9E17-4C17-A315-F560C3668EA0}" destId="{1AFCB851-70E7-40AA-B422-042C59CEEAA6}" srcOrd="0" destOrd="2" presId="urn:microsoft.com/office/officeart/2005/8/layout/vList5"/>
    <dgm:cxn modelId="{DFEB865C-0720-40EF-957B-42F040FD58C1}" type="presOf" srcId="{941E7087-85B8-4D87-A954-37B21187FE92}" destId="{C2C66D52-62E9-4C68-8CD2-F24578FAB035}" srcOrd="0" destOrd="1" presId="urn:microsoft.com/office/officeart/2005/8/layout/vList5"/>
    <dgm:cxn modelId="{1CA30BDF-7D44-457A-8271-0E7CAAB1ABE1}" srcId="{16AEAE0E-CBFB-4B4F-A4BD-1961A7D570A3}" destId="{CE33401E-44FD-4325-AC5E-C9C944CE461E}" srcOrd="0" destOrd="0" parTransId="{607F807C-711C-401C-9184-B71868E517E7}" sibTransId="{DA895FB7-C437-4AAF-96CD-EA5650FEE2E6}"/>
    <dgm:cxn modelId="{9B6049BF-6B8D-4A07-81A6-3318D9944290}" srcId="{C9EB87B6-7392-40C7-A1B6-DF36B7346E97}" destId="{CA6213B4-9E17-4C17-A315-F560C3668EA0}" srcOrd="2" destOrd="0" parTransId="{68C3CB51-5D38-4E0C-BD4E-BF603A821C78}" sibTransId="{7F3BC83B-8A12-48DD-B341-51BF24D6EEA7}"/>
    <dgm:cxn modelId="{C0A1E43F-0459-494D-8252-757A19FF5460}" type="presOf" srcId="{715067ED-8E94-4C54-A155-910E3E3CC042}" destId="{C2C66D52-62E9-4C68-8CD2-F24578FAB035}" srcOrd="0" destOrd="0" presId="urn:microsoft.com/office/officeart/2005/8/layout/vList5"/>
    <dgm:cxn modelId="{70A4A86A-01B7-4CD7-AB16-1D15B72AF3DA}" type="presOf" srcId="{592F1C7B-3DEA-45D8-BFAC-74C1DCFD1D94}" destId="{B9DE856F-6425-4C29-816E-E3C1F57472A7}" srcOrd="0" destOrd="1" presId="urn:microsoft.com/office/officeart/2005/8/layout/vList5"/>
    <dgm:cxn modelId="{25299E02-068B-4409-8E9F-E9F67501B84F}" srcId="{FFFE0EB7-C797-4181-B22E-66A90B892B56}" destId="{001485CC-5A2D-46C0-9665-B5E1D31CF197}" srcOrd="2" destOrd="0" parTransId="{37B6D2A1-DC20-4A1B-96E5-334B027083CA}" sibTransId="{090E84F1-E964-413B-AD9B-EFF354E8808C}"/>
    <dgm:cxn modelId="{FDDF7228-4C07-4BEA-A810-98AB9D41D687}" type="presOf" srcId="{16AEAE0E-CBFB-4B4F-A4BD-1961A7D570A3}" destId="{AC76CA7C-8E13-4A2D-8A32-E72F20E0A857}" srcOrd="0" destOrd="0" presId="urn:microsoft.com/office/officeart/2005/8/layout/vList5"/>
    <dgm:cxn modelId="{A6A0261A-9C3D-45DF-A69E-8DEC7FD60BE6}" type="presOf" srcId="{001485CC-5A2D-46C0-9665-B5E1D31CF197}" destId="{9B30AFCD-0276-482F-A808-A54DE709CC20}" srcOrd="0" destOrd="2" presId="urn:microsoft.com/office/officeart/2005/8/layout/vList5"/>
    <dgm:cxn modelId="{0E1A3F93-6346-4109-B93B-A7320D9D8A6C}" srcId="{CE33401E-44FD-4325-AC5E-C9C944CE461E}" destId="{592F1C7B-3DEA-45D8-BFAC-74C1DCFD1D94}" srcOrd="1" destOrd="0" parTransId="{3379BDE5-7FA6-45DE-BAE3-027838F2A9B9}" sibTransId="{3DA7B67C-886B-4B5D-B787-DD7D73995FC9}"/>
    <dgm:cxn modelId="{71F5A5E1-D7D7-4700-9AED-96E6F8467AF0}" type="presOf" srcId="{CE99A8C5-AA2E-427E-BC65-82104FDE624B}" destId="{1AFCB851-70E7-40AA-B422-042C59CEEAA6}" srcOrd="0" destOrd="1" presId="urn:microsoft.com/office/officeart/2005/8/layout/vList5"/>
    <dgm:cxn modelId="{0E9EF5EB-D6F5-493F-B7BE-FE8FBD4A4907}" type="presOf" srcId="{B387CDD6-3F8E-4ACC-A800-0E6BDC3D941E}" destId="{1AFCB851-70E7-40AA-B422-042C59CEEAA6}" srcOrd="0" destOrd="0" presId="urn:microsoft.com/office/officeart/2005/8/layout/vList5"/>
    <dgm:cxn modelId="{57C33E02-E068-49DC-B4E3-6605B8B8A62D}" srcId="{16AEAE0E-CBFB-4B4F-A4BD-1961A7D570A3}" destId="{EA5D8E57-7B7F-4EE9-BACA-92CB8F4184E2}" srcOrd="2" destOrd="0" parTransId="{6C67068D-DC24-4B9B-85DD-D974AF73FBEE}" sibTransId="{4411F26D-9ECE-4F65-B727-A191BA00085A}"/>
    <dgm:cxn modelId="{C178342F-09AB-4B91-A8CC-9EE5C3A76D16}" type="presOf" srcId="{95CC72FA-AC6A-4F42-B09B-4C0493AB9728}" destId="{C2C66D52-62E9-4C68-8CD2-F24578FAB035}" srcOrd="0" destOrd="2" presId="urn:microsoft.com/office/officeart/2005/8/layout/vList5"/>
    <dgm:cxn modelId="{189F8EFD-8B86-4A1B-BAE1-408AB6FA1CC3}" srcId="{16AEAE0E-CBFB-4B4F-A4BD-1961A7D570A3}" destId="{C3C5B8C8-B5D3-4197-828B-7330FD77F940}" srcOrd="3" destOrd="0" parTransId="{99CB240F-F57F-4B59-BB9B-5BE90B24FBED}" sibTransId="{90C25EA7-2A00-4AD4-BCCE-BFAEA6AF23B0}"/>
    <dgm:cxn modelId="{154F978C-34C8-4447-AEC9-14D8B342CA74}" srcId="{16AEAE0E-CBFB-4B4F-A4BD-1961A7D570A3}" destId="{C9EB87B6-7392-40C7-A1B6-DF36B7346E97}" srcOrd="1" destOrd="0" parTransId="{D5AEB993-E69B-403B-8EA9-E6FF44C4B847}" sibTransId="{16886F88-BF08-4113-A954-DC6FEF0F421E}"/>
    <dgm:cxn modelId="{5A904995-A88B-4A60-AE2C-A8F71C76D192}" srcId="{FFFE0EB7-C797-4181-B22E-66A90B892B56}" destId="{E89A0F6C-8D50-4A33-A163-4881D5EFDFF1}" srcOrd="3" destOrd="0" parTransId="{CE65796F-2D48-438D-BC02-5FF17D2CE028}" sibTransId="{EED77AF0-6546-4921-AC6D-F68EEF7B2BAE}"/>
    <dgm:cxn modelId="{44CC9719-66C4-4109-AF6B-4874DC3ADB63}" type="presOf" srcId="{FFFE0EB7-C797-4181-B22E-66A90B892B56}" destId="{3AF6ABCE-C716-4B9D-A04C-ACD89C0A89E1}" srcOrd="0" destOrd="0" presId="urn:microsoft.com/office/officeart/2005/8/layout/vList5"/>
    <dgm:cxn modelId="{A2F2A8BE-8F2D-4DBE-ACB5-5EA829A6E4C2}" type="presOf" srcId="{72014D75-7797-4602-85C7-1A2EC6B2097D}" destId="{67FDCBF2-BD84-45DE-B08A-7792BA27C8B5}" srcOrd="0" destOrd="0" presId="urn:microsoft.com/office/officeart/2005/8/layout/vList5"/>
    <dgm:cxn modelId="{2A7788C3-CE10-4AC5-AE56-61E519033200}" type="presParOf" srcId="{AC76CA7C-8E13-4A2D-8A32-E72F20E0A857}" destId="{64F2D3C8-CD25-4E1D-83B8-B450EBAE3AE0}" srcOrd="0" destOrd="0" presId="urn:microsoft.com/office/officeart/2005/8/layout/vList5"/>
    <dgm:cxn modelId="{245E79DD-7D80-45C4-B883-07E0736DA7E1}" type="presParOf" srcId="{64F2D3C8-CD25-4E1D-83B8-B450EBAE3AE0}" destId="{4AB4BFBF-5FB4-4797-8AF5-975295914743}" srcOrd="0" destOrd="0" presId="urn:microsoft.com/office/officeart/2005/8/layout/vList5"/>
    <dgm:cxn modelId="{8AB82F96-D4D8-419A-8D8E-023FCFA4F8F8}" type="presParOf" srcId="{64F2D3C8-CD25-4E1D-83B8-B450EBAE3AE0}" destId="{B9DE856F-6425-4C29-816E-E3C1F57472A7}" srcOrd="1" destOrd="0" presId="urn:microsoft.com/office/officeart/2005/8/layout/vList5"/>
    <dgm:cxn modelId="{5BA324FD-577F-4CA4-A0ED-49A8AFBAF22F}" type="presParOf" srcId="{AC76CA7C-8E13-4A2D-8A32-E72F20E0A857}" destId="{2C062CD3-9E0B-4F7C-A418-929D533A8ECF}" srcOrd="1" destOrd="0" presId="urn:microsoft.com/office/officeart/2005/8/layout/vList5"/>
    <dgm:cxn modelId="{59CB44B7-B28D-4C18-A456-ACF614FEACCA}" type="presParOf" srcId="{AC76CA7C-8E13-4A2D-8A32-E72F20E0A857}" destId="{CE2FB8CC-3915-4A4C-A81B-DDFA4E50575B}" srcOrd="2" destOrd="0" presId="urn:microsoft.com/office/officeart/2005/8/layout/vList5"/>
    <dgm:cxn modelId="{373C5D4D-B5BD-4737-9248-A44D199225AB}" type="presParOf" srcId="{CE2FB8CC-3915-4A4C-A81B-DDFA4E50575B}" destId="{C997F499-3C46-453E-8039-0EFBE09DCE62}" srcOrd="0" destOrd="0" presId="urn:microsoft.com/office/officeart/2005/8/layout/vList5"/>
    <dgm:cxn modelId="{DA9C94D7-072D-4CD3-9207-F6CA2FBBDD27}" type="presParOf" srcId="{CE2FB8CC-3915-4A4C-A81B-DDFA4E50575B}" destId="{1AFCB851-70E7-40AA-B422-042C59CEEAA6}" srcOrd="1" destOrd="0" presId="urn:microsoft.com/office/officeart/2005/8/layout/vList5"/>
    <dgm:cxn modelId="{B3723A1D-0BF0-4FE6-9C05-30678ECB2254}" type="presParOf" srcId="{AC76CA7C-8E13-4A2D-8A32-E72F20E0A857}" destId="{05E7CD4C-2664-4DE4-A3C6-B890F35634F7}" srcOrd="3" destOrd="0" presId="urn:microsoft.com/office/officeart/2005/8/layout/vList5"/>
    <dgm:cxn modelId="{14B3618C-E57E-47F6-822E-D8728E3377D8}" type="presParOf" srcId="{AC76CA7C-8E13-4A2D-8A32-E72F20E0A857}" destId="{B2274DE9-1D7F-49BB-9660-CADAE316EC2D}" srcOrd="4" destOrd="0" presId="urn:microsoft.com/office/officeart/2005/8/layout/vList5"/>
    <dgm:cxn modelId="{29690241-9B2E-41F7-BE98-1A366D965F3A}" type="presParOf" srcId="{B2274DE9-1D7F-49BB-9660-CADAE316EC2D}" destId="{B51E1390-1D74-4D3B-82B2-7D86FA300D32}" srcOrd="0" destOrd="0" presId="urn:microsoft.com/office/officeart/2005/8/layout/vList5"/>
    <dgm:cxn modelId="{F026D64A-0863-4AE4-B420-F05426ABC357}" type="presParOf" srcId="{B2274DE9-1D7F-49BB-9660-CADAE316EC2D}" destId="{C2C66D52-62E9-4C68-8CD2-F24578FAB035}" srcOrd="1" destOrd="0" presId="urn:microsoft.com/office/officeart/2005/8/layout/vList5"/>
    <dgm:cxn modelId="{13012E2F-D9CB-49C7-8A88-2BD26094D587}" type="presParOf" srcId="{AC76CA7C-8E13-4A2D-8A32-E72F20E0A857}" destId="{13005350-E7BD-49F2-8FD1-756E15CD2B1C}" srcOrd="5" destOrd="0" presId="urn:microsoft.com/office/officeart/2005/8/layout/vList5"/>
    <dgm:cxn modelId="{AFBA240A-DB23-4676-8405-D648E1AD1657}" type="presParOf" srcId="{AC76CA7C-8E13-4A2D-8A32-E72F20E0A857}" destId="{2496AC1F-0F6A-4DF6-A19C-E94CB8FDF020}" srcOrd="6" destOrd="0" presId="urn:microsoft.com/office/officeart/2005/8/layout/vList5"/>
    <dgm:cxn modelId="{AAEFA2C9-E19B-403F-85E4-9E708D805B4F}" type="presParOf" srcId="{2496AC1F-0F6A-4DF6-A19C-E94CB8FDF020}" destId="{7D5F49E0-9618-4439-8449-C5B505D305E6}" srcOrd="0" destOrd="0" presId="urn:microsoft.com/office/officeart/2005/8/layout/vList5"/>
    <dgm:cxn modelId="{D1A7CC66-7DAA-4420-B6A6-A86D909AA6D0}" type="presParOf" srcId="{2496AC1F-0F6A-4DF6-A19C-E94CB8FDF020}" destId="{67FDCBF2-BD84-45DE-B08A-7792BA27C8B5}" srcOrd="1" destOrd="0" presId="urn:microsoft.com/office/officeart/2005/8/layout/vList5"/>
    <dgm:cxn modelId="{65B5BCD6-A95A-426F-9AE1-4226353C6C95}" type="presParOf" srcId="{AC76CA7C-8E13-4A2D-8A32-E72F20E0A857}" destId="{F8D1EC25-F8A9-466E-B66C-7C1BEFA38B41}" srcOrd="7" destOrd="0" presId="urn:microsoft.com/office/officeart/2005/8/layout/vList5"/>
    <dgm:cxn modelId="{F026E67A-868D-456A-BB4E-A50DA2898170}" type="presParOf" srcId="{AC76CA7C-8E13-4A2D-8A32-E72F20E0A857}" destId="{EC9A32AC-ABE8-4411-B9D1-3AAD9759CD9F}" srcOrd="8" destOrd="0" presId="urn:microsoft.com/office/officeart/2005/8/layout/vList5"/>
    <dgm:cxn modelId="{FD2BC469-3BB1-4ABB-B756-3DB0A6B435C8}" type="presParOf" srcId="{EC9A32AC-ABE8-4411-B9D1-3AAD9759CD9F}" destId="{3AF6ABCE-C716-4B9D-A04C-ACD89C0A89E1}" srcOrd="0" destOrd="0" presId="urn:microsoft.com/office/officeart/2005/8/layout/vList5"/>
    <dgm:cxn modelId="{B265B976-0735-4B56-851E-8B279D7E9FE7}" type="presParOf" srcId="{EC9A32AC-ABE8-4411-B9D1-3AAD9759CD9F}" destId="{9B30AFCD-0276-482F-A808-A54DE709CC20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DE856F-6425-4C29-816E-E3C1F57472A7}">
      <dsp:nvSpPr>
        <dsp:cNvPr id="0" name=""/>
        <dsp:cNvSpPr/>
      </dsp:nvSpPr>
      <dsp:spPr>
        <a:xfrm rot="5400000">
          <a:off x="3238971" y="-1761062"/>
          <a:ext cx="671994" cy="4365960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1. Posilnenie výskumu, technologického rozvoja a inovácií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2. Zlepšenie prístupu k informačno-komunikačným technológiám, ako aj využívanie ich kvality</a:t>
          </a:r>
          <a:endParaRPr lang="sk-SK" sz="900" b="0" kern="1200" dirty="0"/>
        </a:p>
      </dsp:txBody>
      <dsp:txXfrm rot="-5400000">
        <a:off x="1391988" y="118725"/>
        <a:ext cx="4333156" cy="606386"/>
      </dsp:txXfrm>
    </dsp:sp>
    <dsp:sp modelId="{4AB4BFBF-5FB4-4797-8AF5-975295914743}">
      <dsp:nvSpPr>
        <dsp:cNvPr id="0" name=""/>
        <dsp:cNvSpPr/>
      </dsp:nvSpPr>
      <dsp:spPr>
        <a:xfrm>
          <a:off x="516" y="1921"/>
          <a:ext cx="1391471" cy="839993"/>
        </a:xfrm>
        <a:prstGeom prst="roundRect">
          <a:avLst/>
        </a:prstGeom>
        <a:solidFill>
          <a:schemeClr val="accent4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4"/>
        </a:fillRef>
        <a:effectRef idx="1">
          <a:schemeClr val="accent4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1: Veda, výskum a inovácie</a:t>
          </a:r>
          <a:endParaRPr lang="sk-SK" sz="1000" b="1" kern="1200" dirty="0"/>
        </a:p>
      </dsp:txBody>
      <dsp:txXfrm>
        <a:off x="41521" y="42926"/>
        <a:ext cx="1309461" cy="757983"/>
      </dsp:txXfrm>
    </dsp:sp>
    <dsp:sp modelId="{1AFCB851-70E7-40AA-B422-042C59CEEAA6}">
      <dsp:nvSpPr>
        <dsp:cNvPr id="0" name=""/>
        <dsp:cNvSpPr/>
      </dsp:nvSpPr>
      <dsp:spPr>
        <a:xfrm rot="5400000">
          <a:off x="3230706" y="-889587"/>
          <a:ext cx="671994" cy="4386998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10. Investovanie do vzdelávania, zručností a celoživotného vzdelávania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11. Zvyšovanie inštitucionálnych kapacít a zabezpečovanie efektivity verejnej správy,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9. Podpora sociálneho začleňovania a boj proti chudobe</a:t>
          </a:r>
          <a:endParaRPr lang="sk-SK" sz="900" b="0" kern="1200" dirty="0"/>
        </a:p>
      </dsp:txBody>
      <dsp:txXfrm rot="-5400000">
        <a:off x="1373204" y="1000719"/>
        <a:ext cx="4354194" cy="606386"/>
      </dsp:txXfrm>
    </dsp:sp>
    <dsp:sp modelId="{C997F499-3C46-453E-8039-0EFBE09DCE62}">
      <dsp:nvSpPr>
        <dsp:cNvPr id="0" name=""/>
        <dsp:cNvSpPr/>
      </dsp:nvSpPr>
      <dsp:spPr>
        <a:xfrm>
          <a:off x="127" y="884183"/>
          <a:ext cx="1372688" cy="839993"/>
        </a:xfrm>
        <a:prstGeom prst="roundRect">
          <a:avLst/>
        </a:prstGeom>
        <a:solidFill>
          <a:schemeClr val="accent2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2: Ľudské zdroje</a:t>
          </a:r>
          <a:endParaRPr lang="sk-SK" sz="1000" b="1" kern="1200" dirty="0"/>
        </a:p>
      </dsp:txBody>
      <dsp:txXfrm>
        <a:off x="41132" y="925188"/>
        <a:ext cx="1290678" cy="757983"/>
      </dsp:txXfrm>
    </dsp:sp>
    <dsp:sp modelId="{C2C66D52-62E9-4C68-8CD2-F24578FAB035}">
      <dsp:nvSpPr>
        <dsp:cNvPr id="0" name=""/>
        <dsp:cNvSpPr/>
      </dsp:nvSpPr>
      <dsp:spPr>
        <a:xfrm rot="5400000">
          <a:off x="3237283" y="532"/>
          <a:ext cx="671994" cy="4370744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1. Posilnenie výskumu, technologického rozvoja a inovácií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8. Podpora zamestnanosti a podporovanie mobility pracovnej sily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11. Zvyšovanie inštitucionálnych kapacít a zabezpečovanie efektivity verejnej správy</a:t>
          </a:r>
          <a:endParaRPr lang="sk-SK" sz="900" b="0" kern="1200" dirty="0"/>
        </a:p>
      </dsp:txBody>
      <dsp:txXfrm rot="-5400000">
        <a:off x="1387908" y="1882711"/>
        <a:ext cx="4337940" cy="606386"/>
      </dsp:txXfrm>
    </dsp:sp>
    <dsp:sp modelId="{B51E1390-1D74-4D3B-82B2-7D86FA300D32}">
      <dsp:nvSpPr>
        <dsp:cNvPr id="0" name=""/>
        <dsp:cNvSpPr/>
      </dsp:nvSpPr>
      <dsp:spPr>
        <a:xfrm>
          <a:off x="516" y="1765907"/>
          <a:ext cx="1387392" cy="839993"/>
        </a:xfrm>
        <a:prstGeom prst="roundRect">
          <a:avLst/>
        </a:prstGeom>
        <a:solidFill>
          <a:schemeClr val="accent1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1"/>
        </a:fillRef>
        <a:effectRef idx="1">
          <a:schemeClr val="accent1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3: Zamestnanosť </a:t>
          </a:r>
          <a:endParaRPr lang="sk-SK" sz="1000" b="1" kern="1200" dirty="0"/>
        </a:p>
      </dsp:txBody>
      <dsp:txXfrm>
        <a:off x="41521" y="1806912"/>
        <a:ext cx="1305382" cy="757983"/>
      </dsp:txXfrm>
    </dsp:sp>
    <dsp:sp modelId="{67FDCBF2-BD84-45DE-B08A-7792BA27C8B5}">
      <dsp:nvSpPr>
        <dsp:cNvPr id="0" name=""/>
        <dsp:cNvSpPr/>
      </dsp:nvSpPr>
      <dsp:spPr>
        <a:xfrm rot="5400000">
          <a:off x="3228482" y="877003"/>
          <a:ext cx="671994" cy="4381789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3. Zvýšenie konkurencieschopnosti malých a stredných podnikov, odvetvia poľnohospodárstva a rybného hospodárstva</a:t>
          </a:r>
          <a:endParaRPr lang="sk-SK" sz="900" b="0" kern="1200" dirty="0"/>
        </a:p>
      </dsp:txBody>
      <dsp:txXfrm rot="-5400000">
        <a:off x="1373585" y="2764704"/>
        <a:ext cx="4348985" cy="606386"/>
      </dsp:txXfrm>
    </dsp:sp>
    <dsp:sp modelId="{7D5F49E0-9618-4439-8449-C5B505D305E6}">
      <dsp:nvSpPr>
        <dsp:cNvPr id="0" name=""/>
        <dsp:cNvSpPr/>
      </dsp:nvSpPr>
      <dsp:spPr>
        <a:xfrm>
          <a:off x="516" y="2647900"/>
          <a:ext cx="1373069" cy="839993"/>
        </a:xfrm>
        <a:prstGeom prst="roundRect">
          <a:avLst/>
        </a:prstGeom>
        <a:solidFill>
          <a:schemeClr val="accent6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4: Konkurencieschopnosť, rast a podnikateľské prostredie</a:t>
          </a:r>
          <a:endParaRPr lang="sk-SK" sz="1000" b="1" kern="1200" dirty="0"/>
        </a:p>
      </dsp:txBody>
      <dsp:txXfrm>
        <a:off x="41521" y="2688905"/>
        <a:ext cx="1291059" cy="757983"/>
      </dsp:txXfrm>
    </dsp:sp>
    <dsp:sp modelId="{9B30AFCD-0276-482F-A808-A54DE709CC20}">
      <dsp:nvSpPr>
        <dsp:cNvPr id="0" name=""/>
        <dsp:cNvSpPr/>
      </dsp:nvSpPr>
      <dsp:spPr>
        <a:xfrm rot="5400000">
          <a:off x="3184589" y="1743524"/>
          <a:ext cx="731983" cy="4412733"/>
        </a:xfrm>
        <a:prstGeom prst="round2SameRect">
          <a:avLst/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7. Podpora udržateľnej dopravy a odstraňovanie prekážok v kľúčových sieťových infraštruktúrach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4. Podpora prechodu na </a:t>
          </a:r>
          <a:r>
            <a:rPr lang="sk-SK" sz="900" b="0" kern="1200" dirty="0" err="1" smtClean="0"/>
            <a:t>nízkouhlíkové</a:t>
          </a:r>
          <a:r>
            <a:rPr lang="sk-SK" sz="900" b="0" kern="1200" dirty="0" smtClean="0"/>
            <a:t> hospodárstvo vo všetkých sektoroch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5. Podpora prispôsobenia sa zmenám klímy a predchádzania rizikám a ich riadenia</a:t>
          </a:r>
          <a:endParaRPr lang="sk-SK" sz="900" b="0" kern="1200" dirty="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900" b="0" kern="1200" dirty="0" smtClean="0"/>
            <a:t>6. Ochrana ŽP a presadzovanie udržateľného využívania zdrojov</a:t>
          </a:r>
          <a:endParaRPr lang="sk-SK" sz="900" b="0" kern="1200" dirty="0"/>
        </a:p>
      </dsp:txBody>
      <dsp:txXfrm rot="-5400000">
        <a:off x="1344214" y="3619631"/>
        <a:ext cx="4377001" cy="660519"/>
      </dsp:txXfrm>
    </dsp:sp>
    <dsp:sp modelId="{3AF6ABCE-C716-4B9D-A04C-ACD89C0A89E1}">
      <dsp:nvSpPr>
        <dsp:cNvPr id="0" name=""/>
        <dsp:cNvSpPr/>
      </dsp:nvSpPr>
      <dsp:spPr>
        <a:xfrm>
          <a:off x="516" y="3529894"/>
          <a:ext cx="1343698" cy="839993"/>
        </a:xfrm>
        <a:prstGeom prst="roundRect">
          <a:avLst/>
        </a:prstGeom>
        <a:solidFill>
          <a:schemeClr val="accent3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3"/>
        </a:fillRef>
        <a:effectRef idx="1">
          <a:schemeClr val="accent3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b="1" kern="1200" dirty="0" smtClean="0"/>
            <a:t>PO 5: Životné prostredie, zmeny klímy a obnoviteľné zdroje energie</a:t>
          </a:r>
          <a:endParaRPr lang="sk-SK" sz="1000" b="1" kern="1200" dirty="0"/>
        </a:p>
      </dsp:txBody>
      <dsp:txXfrm>
        <a:off x="41521" y="3570899"/>
        <a:ext cx="1261688" cy="7579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0.01817</cdr:x>
      <cdr:y>0.06484</cdr:y>
    </cdr:from>
    <cdr:to>
      <cdr:x>0.28155</cdr:x>
      <cdr:y>0.20324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06871" y="167771"/>
          <a:ext cx="1549400" cy="3581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0.02538</cdr:x>
      <cdr:y>0.08522</cdr:y>
    </cdr:from>
    <cdr:to>
      <cdr:x>0.29348</cdr:x>
      <cdr:y>0.23298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46649" y="206555"/>
          <a:ext cx="1549400" cy="3581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0.02596</cdr:x>
      <cdr:y>0.02984</cdr:y>
    </cdr:from>
    <cdr:to>
      <cdr:x>0.29406</cdr:x>
      <cdr:y>0.17011</cdr:y>
    </cdr:to>
    <cdr:pic>
      <cdr:nvPicPr>
        <cdr:cNvPr id="2" name="Obrázok 1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50004" y="76200"/>
          <a:ext cx="1549400" cy="3581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</cdr:pic>
  </cdr:relSizeAnchor>
</c:userShape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7D63BE-8360-4BD6-85EC-43749655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1802</Words>
  <Characters>10278</Characters>
  <Application>Microsoft Office Word</Application>
  <DocSecurity>4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Bezek</dc:creator>
  <cp:lastModifiedBy>Diana Kovačovská</cp:lastModifiedBy>
  <cp:revision>2</cp:revision>
  <cp:lastPrinted>2016-02-04T10:24:00Z</cp:lastPrinted>
  <dcterms:created xsi:type="dcterms:W3CDTF">2016-06-14T12:06:00Z</dcterms:created>
  <dcterms:modified xsi:type="dcterms:W3CDTF">2016-06-14T12:06:00Z</dcterms:modified>
</cp:coreProperties>
</file>